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F461A6">
      <w:pPr>
        <w:jc w:val="center"/>
        <w:rPr>
          <w:b/>
          <w:sz w:val="26"/>
          <w:szCs w:val="26"/>
        </w:rPr>
      </w:pPr>
      <w:r w:rsidRPr="00F461A6">
        <w:rPr>
          <w:b/>
          <w:sz w:val="26"/>
          <w:szCs w:val="26"/>
        </w:rPr>
        <w:t>PENNSYLVANIA</w:t>
      </w:r>
    </w:p>
    <w:p w:rsidR="00F461A6" w:rsidRPr="00F461A6" w:rsidRDefault="00F461A6" w:rsidP="00F461A6">
      <w:pPr>
        <w:jc w:val="center"/>
        <w:rPr>
          <w:b/>
          <w:sz w:val="26"/>
          <w:szCs w:val="26"/>
        </w:rPr>
      </w:pPr>
      <w:r w:rsidRPr="00F461A6">
        <w:rPr>
          <w:b/>
          <w:sz w:val="26"/>
          <w:szCs w:val="26"/>
        </w:rPr>
        <w:t>PUBLIC UTILITY COMMISSION</w:t>
      </w:r>
    </w:p>
    <w:p w:rsidR="00F461A6" w:rsidRPr="00F461A6" w:rsidRDefault="00F461A6" w:rsidP="00F461A6">
      <w:pPr>
        <w:jc w:val="center"/>
        <w:rPr>
          <w:b/>
          <w:sz w:val="26"/>
          <w:szCs w:val="26"/>
        </w:rPr>
      </w:pPr>
      <w:r w:rsidRPr="00F461A6">
        <w:rPr>
          <w:b/>
          <w:sz w:val="26"/>
          <w:szCs w:val="26"/>
        </w:rPr>
        <w:t>Harrisburg, PA  17105-3265</w:t>
      </w:r>
    </w:p>
    <w:p w:rsidR="00F461A6" w:rsidRPr="00F461A6" w:rsidRDefault="00F461A6" w:rsidP="00F461A6">
      <w:pPr>
        <w:rPr>
          <w:sz w:val="26"/>
          <w:szCs w:val="26"/>
        </w:rPr>
      </w:pPr>
    </w:p>
    <w:p w:rsidR="00F461A6" w:rsidRPr="00F461A6" w:rsidRDefault="00F461A6" w:rsidP="00F461A6">
      <w:pPr>
        <w:rPr>
          <w:sz w:val="26"/>
          <w:szCs w:val="26"/>
        </w:rPr>
      </w:pPr>
    </w:p>
    <w:p w:rsidR="00F461A6" w:rsidRPr="00F461A6" w:rsidRDefault="00F461A6" w:rsidP="00F461A6">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sidR="005605EF">
        <w:rPr>
          <w:sz w:val="26"/>
          <w:szCs w:val="26"/>
        </w:rPr>
        <w:t>October 22</w:t>
      </w:r>
      <w:r w:rsidRPr="00F461A6">
        <w:rPr>
          <w:sz w:val="26"/>
          <w:szCs w:val="26"/>
        </w:rPr>
        <w:t>, 2009</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Commissioners Present:</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ab/>
        <w:t>James H. Cawley, Chairman</w:t>
      </w:r>
    </w:p>
    <w:p w:rsidR="00F461A6" w:rsidRPr="00F461A6" w:rsidRDefault="00F461A6" w:rsidP="00F461A6">
      <w:pPr>
        <w:rPr>
          <w:sz w:val="26"/>
          <w:szCs w:val="26"/>
        </w:rPr>
      </w:pPr>
      <w:r w:rsidRPr="00F461A6">
        <w:rPr>
          <w:sz w:val="26"/>
          <w:szCs w:val="26"/>
        </w:rPr>
        <w:tab/>
        <w:t>Tyrone J. Christy, Vice Chairman</w:t>
      </w:r>
      <w:r w:rsidR="00B22FF4">
        <w:rPr>
          <w:sz w:val="26"/>
          <w:szCs w:val="26"/>
        </w:rPr>
        <w:t>, Statement</w:t>
      </w:r>
    </w:p>
    <w:p w:rsidR="00F461A6" w:rsidRPr="00F461A6" w:rsidRDefault="00F461A6" w:rsidP="00F461A6">
      <w:pPr>
        <w:rPr>
          <w:sz w:val="26"/>
          <w:szCs w:val="26"/>
        </w:rPr>
      </w:pPr>
      <w:r w:rsidRPr="00F461A6">
        <w:rPr>
          <w:sz w:val="26"/>
          <w:szCs w:val="26"/>
        </w:rPr>
        <w:tab/>
        <w:t>Kim Pizzingrilli</w:t>
      </w:r>
      <w:r w:rsidR="00B22FF4">
        <w:rPr>
          <w:sz w:val="26"/>
          <w:szCs w:val="26"/>
        </w:rPr>
        <w:t>, Statement</w:t>
      </w:r>
    </w:p>
    <w:p w:rsidR="00F461A6" w:rsidRDefault="00F461A6" w:rsidP="00F461A6">
      <w:pPr>
        <w:rPr>
          <w:sz w:val="26"/>
          <w:szCs w:val="26"/>
        </w:rPr>
      </w:pPr>
      <w:r w:rsidRPr="00F461A6">
        <w:rPr>
          <w:sz w:val="26"/>
          <w:szCs w:val="26"/>
        </w:rPr>
        <w:tab/>
        <w:t>Wayne E. Gardner</w:t>
      </w:r>
    </w:p>
    <w:p w:rsidR="00F97E2E" w:rsidRPr="00F461A6" w:rsidRDefault="00F97E2E" w:rsidP="00F461A6">
      <w:pPr>
        <w:rPr>
          <w:sz w:val="26"/>
          <w:szCs w:val="26"/>
        </w:rPr>
      </w:pPr>
      <w:r>
        <w:rPr>
          <w:sz w:val="26"/>
          <w:szCs w:val="26"/>
        </w:rPr>
        <w:tab/>
      </w:r>
      <w:r w:rsidRPr="00F461A6">
        <w:rPr>
          <w:sz w:val="26"/>
          <w:szCs w:val="26"/>
        </w:rPr>
        <w:t>Robert F. Powelson</w:t>
      </w:r>
      <w:r w:rsidR="00B22FF4">
        <w:rPr>
          <w:sz w:val="26"/>
          <w:szCs w:val="26"/>
        </w:rPr>
        <w:t>, Statements</w:t>
      </w:r>
    </w:p>
    <w:p w:rsidR="00F461A6" w:rsidRDefault="00F461A6" w:rsidP="00F461A6">
      <w:pPr>
        <w:rPr>
          <w:sz w:val="26"/>
          <w:szCs w:val="26"/>
        </w:rPr>
      </w:pPr>
    </w:p>
    <w:p w:rsidR="00325B18" w:rsidRDefault="00325B18" w:rsidP="00F461A6">
      <w:pPr>
        <w:rPr>
          <w:sz w:val="26"/>
          <w:szCs w:val="26"/>
        </w:rPr>
      </w:pPr>
    </w:p>
    <w:p w:rsidR="00E22BC7" w:rsidRDefault="00E22BC7" w:rsidP="00F461A6">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22BC7" w:rsidTr="00D26482">
        <w:tc>
          <w:tcPr>
            <w:tcW w:w="4788" w:type="dxa"/>
          </w:tcPr>
          <w:p w:rsidR="00E22BC7" w:rsidRDefault="00E22BC7" w:rsidP="00E22BC7">
            <w:pPr>
              <w:rPr>
                <w:sz w:val="26"/>
                <w:szCs w:val="26"/>
              </w:rPr>
            </w:pPr>
            <w:r>
              <w:rPr>
                <w:sz w:val="26"/>
                <w:szCs w:val="26"/>
              </w:rPr>
              <w:t>Joint Petition of Metropolitan Edison Company, Pennsylvania Electric Company and Pennsylvania Power Company for Consolidation of Proceedings and Approval of  Energy Efficiency and Conservation Plans</w:t>
            </w:r>
          </w:p>
        </w:tc>
        <w:tc>
          <w:tcPr>
            <w:tcW w:w="4788" w:type="dxa"/>
          </w:tcPr>
          <w:p w:rsidR="00E255A4" w:rsidRDefault="00E22BC7" w:rsidP="00E255A4">
            <w:pPr>
              <w:jc w:val="right"/>
              <w:rPr>
                <w:sz w:val="26"/>
                <w:szCs w:val="26"/>
              </w:rPr>
            </w:pPr>
            <w:r>
              <w:rPr>
                <w:sz w:val="26"/>
                <w:szCs w:val="26"/>
              </w:rPr>
              <w:t xml:space="preserve">Docket Nos. M-2009-2092222, </w:t>
            </w:r>
          </w:p>
          <w:p w:rsidR="00E22BC7" w:rsidRDefault="00E22BC7" w:rsidP="00E255A4">
            <w:pPr>
              <w:jc w:val="right"/>
              <w:rPr>
                <w:sz w:val="26"/>
                <w:szCs w:val="26"/>
              </w:rPr>
            </w:pPr>
            <w:r>
              <w:rPr>
                <w:sz w:val="26"/>
                <w:szCs w:val="26"/>
              </w:rPr>
              <w:t>M-2009-2112952 and M-2009-2112956</w:t>
            </w:r>
          </w:p>
          <w:p w:rsidR="00E22BC7" w:rsidRDefault="00E22BC7" w:rsidP="00F461A6">
            <w:pPr>
              <w:rPr>
                <w:sz w:val="26"/>
                <w:szCs w:val="26"/>
              </w:rPr>
            </w:pPr>
          </w:p>
        </w:tc>
      </w:tr>
    </w:tbl>
    <w:p w:rsidR="00E22BC7" w:rsidRDefault="00E22BC7" w:rsidP="00F461A6">
      <w:pPr>
        <w:rPr>
          <w:sz w:val="26"/>
          <w:szCs w:val="26"/>
        </w:rPr>
      </w:pPr>
    </w:p>
    <w:p w:rsidR="00E22BC7" w:rsidRDefault="00E22BC7" w:rsidP="00F461A6">
      <w:pPr>
        <w:rPr>
          <w:sz w:val="26"/>
          <w:szCs w:val="26"/>
        </w:rPr>
      </w:pPr>
    </w:p>
    <w:p w:rsidR="00F97E2E" w:rsidRDefault="00F97E2E">
      <w:pPr>
        <w:spacing w:after="200" w:line="276" w:lineRule="auto"/>
        <w:rPr>
          <w:b/>
          <w:sz w:val="26"/>
          <w:szCs w:val="26"/>
        </w:rPr>
        <w:sectPr w:rsidR="00F97E2E" w:rsidSect="005A69BD">
          <w:headerReference w:type="default" r:id="rId8"/>
          <w:footerReference w:type="default" r:id="rId9"/>
          <w:pgSz w:w="12240" w:h="15840"/>
          <w:pgMar w:top="1440" w:right="1440" w:bottom="1440" w:left="1440" w:header="720" w:footer="720" w:gutter="0"/>
          <w:cols w:space="720"/>
          <w:titlePg/>
          <w:docGrid w:linePitch="360"/>
        </w:sectPr>
      </w:pPr>
    </w:p>
    <w:p w:rsidR="00F461A6" w:rsidRDefault="00F461A6" w:rsidP="00F461A6">
      <w:pPr>
        <w:jc w:val="center"/>
        <w:rPr>
          <w:b/>
          <w:sz w:val="26"/>
          <w:szCs w:val="26"/>
        </w:rPr>
      </w:pPr>
      <w:r>
        <w:rPr>
          <w:b/>
          <w:sz w:val="26"/>
          <w:szCs w:val="26"/>
        </w:rPr>
        <w:lastRenderedPageBreak/>
        <w:t>TABLE OF CONTENTS</w:t>
      </w:r>
    </w:p>
    <w:p w:rsidR="003E693B" w:rsidRDefault="003E693B" w:rsidP="00F461A6">
      <w:pPr>
        <w:jc w:val="center"/>
        <w:rPr>
          <w:b/>
          <w:sz w:val="26"/>
          <w:szCs w:val="26"/>
        </w:rPr>
      </w:pPr>
    </w:p>
    <w:p w:rsidR="00FA5005" w:rsidRDefault="00E02171">
      <w:pPr>
        <w:pStyle w:val="TOC1"/>
        <w:tabs>
          <w:tab w:val="left" w:pos="720"/>
          <w:tab w:val="right" w:leader="dot" w:pos="9350"/>
        </w:tabs>
        <w:rPr>
          <w:rFonts w:asciiTheme="minorHAnsi" w:eastAsiaTheme="minorEastAsia" w:hAnsiTheme="minorHAnsi" w:cstheme="minorBidi"/>
          <w:noProof/>
          <w:sz w:val="22"/>
          <w:szCs w:val="22"/>
        </w:rPr>
      </w:pPr>
      <w:r>
        <w:rPr>
          <w:b/>
          <w:sz w:val="26"/>
          <w:szCs w:val="26"/>
        </w:rPr>
        <w:fldChar w:fldCharType="begin"/>
      </w:r>
      <w:r w:rsidR="0046282B">
        <w:rPr>
          <w:b/>
          <w:sz w:val="26"/>
          <w:szCs w:val="26"/>
        </w:rPr>
        <w:instrText xml:space="preserve"> TOC \o "1-8" \h \z \u </w:instrText>
      </w:r>
      <w:r>
        <w:rPr>
          <w:b/>
          <w:sz w:val="26"/>
          <w:szCs w:val="26"/>
        </w:rPr>
        <w:fldChar w:fldCharType="separate"/>
      </w:r>
      <w:hyperlink w:anchor="_Toc244499269" w:history="1">
        <w:r w:rsidR="00FA5005" w:rsidRPr="00324A09">
          <w:rPr>
            <w:rStyle w:val="Hyperlink"/>
            <w:noProof/>
          </w:rPr>
          <w:t xml:space="preserve">I.  </w:t>
        </w:r>
        <w:r w:rsidR="00FA5005">
          <w:rPr>
            <w:rFonts w:asciiTheme="minorHAnsi" w:eastAsiaTheme="minorEastAsia" w:hAnsiTheme="minorHAnsi" w:cstheme="minorBidi"/>
            <w:noProof/>
            <w:sz w:val="22"/>
            <w:szCs w:val="22"/>
          </w:rPr>
          <w:tab/>
        </w:r>
        <w:r w:rsidR="00FA5005" w:rsidRPr="00324A09">
          <w:rPr>
            <w:rStyle w:val="Hyperlink"/>
            <w:noProof/>
          </w:rPr>
          <w:t>Introduction</w:t>
        </w:r>
        <w:r w:rsidR="00FA5005">
          <w:rPr>
            <w:noProof/>
            <w:webHidden/>
          </w:rPr>
          <w:tab/>
        </w:r>
        <w:r>
          <w:rPr>
            <w:noProof/>
            <w:webHidden/>
          </w:rPr>
          <w:fldChar w:fldCharType="begin"/>
        </w:r>
        <w:r w:rsidR="00FA5005">
          <w:rPr>
            <w:noProof/>
            <w:webHidden/>
          </w:rPr>
          <w:instrText xml:space="preserve"> PAGEREF _Toc244499269 \h </w:instrText>
        </w:r>
        <w:r>
          <w:rPr>
            <w:noProof/>
            <w:webHidden/>
          </w:rPr>
        </w:r>
        <w:r>
          <w:rPr>
            <w:noProof/>
            <w:webHidden/>
          </w:rPr>
          <w:fldChar w:fldCharType="separate"/>
        </w:r>
        <w:r w:rsidR="00B22FF4">
          <w:rPr>
            <w:noProof/>
            <w:webHidden/>
          </w:rPr>
          <w:t>1</w:t>
        </w:r>
        <w:r>
          <w:rPr>
            <w:noProof/>
            <w:webHidden/>
          </w:rPr>
          <w:fldChar w:fldCharType="end"/>
        </w:r>
      </w:hyperlink>
    </w:p>
    <w:p w:rsidR="00FA5005" w:rsidRDefault="00E02171">
      <w:pPr>
        <w:pStyle w:val="TOC1"/>
        <w:tabs>
          <w:tab w:val="left" w:pos="720"/>
          <w:tab w:val="right" w:leader="dot" w:pos="9350"/>
        </w:tabs>
        <w:rPr>
          <w:rFonts w:asciiTheme="minorHAnsi" w:eastAsiaTheme="minorEastAsia" w:hAnsiTheme="minorHAnsi" w:cstheme="minorBidi"/>
          <w:noProof/>
          <w:sz w:val="22"/>
          <w:szCs w:val="22"/>
        </w:rPr>
      </w:pPr>
      <w:hyperlink w:anchor="_Toc244499270" w:history="1">
        <w:r w:rsidR="00FA5005" w:rsidRPr="00324A09">
          <w:rPr>
            <w:rStyle w:val="Hyperlink"/>
            <w:noProof/>
          </w:rPr>
          <w:t xml:space="preserve">II.  </w:t>
        </w:r>
        <w:r w:rsidR="00FA5005">
          <w:rPr>
            <w:rFonts w:asciiTheme="minorHAnsi" w:eastAsiaTheme="minorEastAsia" w:hAnsiTheme="minorHAnsi" w:cstheme="minorBidi"/>
            <w:noProof/>
            <w:sz w:val="22"/>
            <w:szCs w:val="22"/>
          </w:rPr>
          <w:tab/>
        </w:r>
        <w:r w:rsidR="00FA5005" w:rsidRPr="00324A09">
          <w:rPr>
            <w:rStyle w:val="Hyperlink"/>
            <w:noProof/>
          </w:rPr>
          <w:t>Background</w:t>
        </w:r>
        <w:r w:rsidR="00FA5005">
          <w:rPr>
            <w:noProof/>
            <w:webHidden/>
          </w:rPr>
          <w:tab/>
        </w:r>
        <w:r>
          <w:rPr>
            <w:noProof/>
            <w:webHidden/>
          </w:rPr>
          <w:fldChar w:fldCharType="begin"/>
        </w:r>
        <w:r w:rsidR="00FA5005">
          <w:rPr>
            <w:noProof/>
            <w:webHidden/>
          </w:rPr>
          <w:instrText xml:space="preserve"> PAGEREF _Toc244499270 \h </w:instrText>
        </w:r>
        <w:r>
          <w:rPr>
            <w:noProof/>
            <w:webHidden/>
          </w:rPr>
        </w:r>
        <w:r>
          <w:rPr>
            <w:noProof/>
            <w:webHidden/>
          </w:rPr>
          <w:fldChar w:fldCharType="separate"/>
        </w:r>
        <w:r w:rsidR="00B22FF4">
          <w:rPr>
            <w:noProof/>
            <w:webHidden/>
          </w:rPr>
          <w:t>2</w:t>
        </w:r>
        <w:r>
          <w:rPr>
            <w:noProof/>
            <w:webHidden/>
          </w:rPr>
          <w:fldChar w:fldCharType="end"/>
        </w:r>
      </w:hyperlink>
    </w:p>
    <w:p w:rsidR="00FA5005" w:rsidRDefault="00E02171">
      <w:pPr>
        <w:pStyle w:val="TOC2"/>
        <w:rPr>
          <w:rFonts w:asciiTheme="minorHAnsi" w:eastAsiaTheme="minorEastAsia" w:hAnsiTheme="minorHAnsi" w:cstheme="minorBidi"/>
          <w:noProof/>
          <w:sz w:val="22"/>
          <w:szCs w:val="22"/>
        </w:rPr>
      </w:pPr>
      <w:hyperlink w:anchor="_Toc244499271" w:history="1">
        <w:r w:rsidR="00FA5005" w:rsidRPr="00324A09">
          <w:rPr>
            <w:rStyle w:val="Hyperlink"/>
            <w:noProof/>
          </w:rPr>
          <w:t>A.</w:t>
        </w:r>
        <w:r w:rsidR="00FA5005">
          <w:rPr>
            <w:rFonts w:asciiTheme="minorHAnsi" w:eastAsiaTheme="minorEastAsia" w:hAnsiTheme="minorHAnsi" w:cstheme="minorBidi"/>
            <w:noProof/>
            <w:sz w:val="22"/>
            <w:szCs w:val="22"/>
          </w:rPr>
          <w:tab/>
        </w:r>
        <w:r w:rsidR="00FA5005" w:rsidRPr="00324A09">
          <w:rPr>
            <w:rStyle w:val="Hyperlink"/>
            <w:noProof/>
          </w:rPr>
          <w:t>Act 129</w:t>
        </w:r>
        <w:r w:rsidR="00FA5005">
          <w:rPr>
            <w:noProof/>
            <w:webHidden/>
          </w:rPr>
          <w:tab/>
        </w:r>
        <w:r>
          <w:rPr>
            <w:noProof/>
            <w:webHidden/>
          </w:rPr>
          <w:fldChar w:fldCharType="begin"/>
        </w:r>
        <w:r w:rsidR="00FA5005">
          <w:rPr>
            <w:noProof/>
            <w:webHidden/>
          </w:rPr>
          <w:instrText xml:space="preserve"> PAGEREF _Toc244499271 \h </w:instrText>
        </w:r>
        <w:r>
          <w:rPr>
            <w:noProof/>
            <w:webHidden/>
          </w:rPr>
        </w:r>
        <w:r>
          <w:rPr>
            <w:noProof/>
            <w:webHidden/>
          </w:rPr>
          <w:fldChar w:fldCharType="separate"/>
        </w:r>
        <w:r w:rsidR="00B22FF4">
          <w:rPr>
            <w:noProof/>
            <w:webHidden/>
          </w:rPr>
          <w:t>2</w:t>
        </w:r>
        <w:r>
          <w:rPr>
            <w:noProof/>
            <w:webHidden/>
          </w:rPr>
          <w:fldChar w:fldCharType="end"/>
        </w:r>
      </w:hyperlink>
    </w:p>
    <w:p w:rsidR="00FA5005" w:rsidRDefault="00E02171">
      <w:pPr>
        <w:pStyle w:val="TOC2"/>
        <w:rPr>
          <w:rFonts w:asciiTheme="minorHAnsi" w:eastAsiaTheme="minorEastAsia" w:hAnsiTheme="minorHAnsi" w:cstheme="minorBidi"/>
          <w:noProof/>
          <w:sz w:val="22"/>
          <w:szCs w:val="22"/>
        </w:rPr>
      </w:pPr>
      <w:hyperlink w:anchor="_Toc244499272" w:history="1">
        <w:r w:rsidR="00FA5005" w:rsidRPr="00324A09">
          <w:rPr>
            <w:rStyle w:val="Hyperlink"/>
            <w:noProof/>
          </w:rPr>
          <w:t>B.</w:t>
        </w:r>
        <w:r w:rsidR="00FA5005">
          <w:rPr>
            <w:rFonts w:asciiTheme="minorHAnsi" w:eastAsiaTheme="minorEastAsia" w:hAnsiTheme="minorHAnsi" w:cstheme="minorBidi"/>
            <w:noProof/>
            <w:sz w:val="22"/>
            <w:szCs w:val="22"/>
          </w:rPr>
          <w:tab/>
        </w:r>
        <w:r w:rsidR="00FA5005" w:rsidRPr="00324A09">
          <w:rPr>
            <w:rStyle w:val="Hyperlink"/>
            <w:noProof/>
          </w:rPr>
          <w:t>The Companies</w:t>
        </w:r>
        <w:r w:rsidR="00FA5005">
          <w:rPr>
            <w:noProof/>
            <w:webHidden/>
          </w:rPr>
          <w:tab/>
        </w:r>
        <w:r>
          <w:rPr>
            <w:noProof/>
            <w:webHidden/>
          </w:rPr>
          <w:fldChar w:fldCharType="begin"/>
        </w:r>
        <w:r w:rsidR="00FA5005">
          <w:rPr>
            <w:noProof/>
            <w:webHidden/>
          </w:rPr>
          <w:instrText xml:space="preserve"> PAGEREF _Toc244499272 \h </w:instrText>
        </w:r>
        <w:r>
          <w:rPr>
            <w:noProof/>
            <w:webHidden/>
          </w:rPr>
        </w:r>
        <w:r>
          <w:rPr>
            <w:noProof/>
            <w:webHidden/>
          </w:rPr>
          <w:fldChar w:fldCharType="separate"/>
        </w:r>
        <w:r w:rsidR="00B22FF4">
          <w:rPr>
            <w:noProof/>
            <w:webHidden/>
          </w:rPr>
          <w:t>6</w:t>
        </w:r>
        <w:r>
          <w:rPr>
            <w:noProof/>
            <w:webHidden/>
          </w:rPr>
          <w:fldChar w:fldCharType="end"/>
        </w:r>
      </w:hyperlink>
    </w:p>
    <w:p w:rsidR="00FA5005" w:rsidRDefault="00E02171">
      <w:pPr>
        <w:pStyle w:val="TOC1"/>
        <w:tabs>
          <w:tab w:val="left" w:pos="720"/>
          <w:tab w:val="right" w:leader="dot" w:pos="9350"/>
        </w:tabs>
        <w:rPr>
          <w:rFonts w:asciiTheme="minorHAnsi" w:eastAsiaTheme="minorEastAsia" w:hAnsiTheme="minorHAnsi" w:cstheme="minorBidi"/>
          <w:noProof/>
          <w:sz w:val="22"/>
          <w:szCs w:val="22"/>
        </w:rPr>
      </w:pPr>
      <w:hyperlink w:anchor="_Toc244499273" w:history="1">
        <w:r w:rsidR="00FA5005" w:rsidRPr="00324A09">
          <w:rPr>
            <w:rStyle w:val="Hyperlink"/>
            <w:noProof/>
          </w:rPr>
          <w:t xml:space="preserve">III.  </w:t>
        </w:r>
        <w:r w:rsidR="00FA5005">
          <w:rPr>
            <w:rFonts w:asciiTheme="minorHAnsi" w:eastAsiaTheme="minorEastAsia" w:hAnsiTheme="minorHAnsi" w:cstheme="minorBidi"/>
            <w:noProof/>
            <w:sz w:val="22"/>
            <w:szCs w:val="22"/>
          </w:rPr>
          <w:tab/>
        </w:r>
        <w:r w:rsidR="00FA5005" w:rsidRPr="00324A09">
          <w:rPr>
            <w:rStyle w:val="Hyperlink"/>
            <w:noProof/>
          </w:rPr>
          <w:t>Procedural History</w:t>
        </w:r>
        <w:r w:rsidR="00FA5005">
          <w:rPr>
            <w:noProof/>
            <w:webHidden/>
          </w:rPr>
          <w:tab/>
        </w:r>
        <w:r>
          <w:rPr>
            <w:noProof/>
            <w:webHidden/>
          </w:rPr>
          <w:fldChar w:fldCharType="begin"/>
        </w:r>
        <w:r w:rsidR="00FA5005">
          <w:rPr>
            <w:noProof/>
            <w:webHidden/>
          </w:rPr>
          <w:instrText xml:space="preserve"> PAGEREF _Toc244499273 \h </w:instrText>
        </w:r>
        <w:r>
          <w:rPr>
            <w:noProof/>
            <w:webHidden/>
          </w:rPr>
        </w:r>
        <w:r>
          <w:rPr>
            <w:noProof/>
            <w:webHidden/>
          </w:rPr>
          <w:fldChar w:fldCharType="separate"/>
        </w:r>
        <w:r w:rsidR="00B22FF4">
          <w:rPr>
            <w:noProof/>
            <w:webHidden/>
          </w:rPr>
          <w:t>8</w:t>
        </w:r>
        <w:r>
          <w:rPr>
            <w:noProof/>
            <w:webHidden/>
          </w:rPr>
          <w:fldChar w:fldCharType="end"/>
        </w:r>
      </w:hyperlink>
    </w:p>
    <w:p w:rsidR="00FA5005" w:rsidRDefault="00E02171">
      <w:pPr>
        <w:pStyle w:val="TOC1"/>
        <w:tabs>
          <w:tab w:val="left" w:pos="720"/>
          <w:tab w:val="right" w:leader="dot" w:pos="9350"/>
        </w:tabs>
        <w:rPr>
          <w:rFonts w:asciiTheme="minorHAnsi" w:eastAsiaTheme="minorEastAsia" w:hAnsiTheme="minorHAnsi" w:cstheme="minorBidi"/>
          <w:noProof/>
          <w:sz w:val="22"/>
          <w:szCs w:val="22"/>
        </w:rPr>
      </w:pPr>
      <w:hyperlink w:anchor="_Toc244499274" w:history="1">
        <w:r w:rsidR="00FA5005" w:rsidRPr="00324A09">
          <w:rPr>
            <w:rStyle w:val="Hyperlink"/>
            <w:noProof/>
          </w:rPr>
          <w:t xml:space="preserve">IV.  </w:t>
        </w:r>
        <w:r w:rsidR="00FA5005">
          <w:rPr>
            <w:rFonts w:asciiTheme="minorHAnsi" w:eastAsiaTheme="minorEastAsia" w:hAnsiTheme="minorHAnsi" w:cstheme="minorBidi"/>
            <w:noProof/>
            <w:sz w:val="22"/>
            <w:szCs w:val="22"/>
          </w:rPr>
          <w:tab/>
        </w:r>
        <w:r w:rsidR="00FA5005" w:rsidRPr="00324A09">
          <w:rPr>
            <w:rStyle w:val="Hyperlink"/>
            <w:noProof/>
          </w:rPr>
          <w:t>Description of the Plans</w:t>
        </w:r>
        <w:r w:rsidR="00FA5005">
          <w:rPr>
            <w:noProof/>
            <w:webHidden/>
          </w:rPr>
          <w:tab/>
        </w:r>
        <w:r>
          <w:rPr>
            <w:noProof/>
            <w:webHidden/>
          </w:rPr>
          <w:fldChar w:fldCharType="begin"/>
        </w:r>
        <w:r w:rsidR="00FA5005">
          <w:rPr>
            <w:noProof/>
            <w:webHidden/>
          </w:rPr>
          <w:instrText xml:space="preserve"> PAGEREF _Toc244499274 \h </w:instrText>
        </w:r>
        <w:r>
          <w:rPr>
            <w:noProof/>
            <w:webHidden/>
          </w:rPr>
        </w:r>
        <w:r>
          <w:rPr>
            <w:noProof/>
            <w:webHidden/>
          </w:rPr>
          <w:fldChar w:fldCharType="separate"/>
        </w:r>
        <w:r w:rsidR="00B22FF4">
          <w:rPr>
            <w:noProof/>
            <w:webHidden/>
          </w:rPr>
          <w:t>13</w:t>
        </w:r>
        <w:r>
          <w:rPr>
            <w:noProof/>
            <w:webHidden/>
          </w:rPr>
          <w:fldChar w:fldCharType="end"/>
        </w:r>
      </w:hyperlink>
    </w:p>
    <w:p w:rsidR="00FA5005" w:rsidRDefault="00E02171">
      <w:pPr>
        <w:pStyle w:val="TOC2"/>
        <w:rPr>
          <w:rFonts w:asciiTheme="minorHAnsi" w:eastAsiaTheme="minorEastAsia" w:hAnsiTheme="minorHAnsi" w:cstheme="minorBidi"/>
          <w:noProof/>
          <w:sz w:val="22"/>
          <w:szCs w:val="22"/>
        </w:rPr>
      </w:pPr>
      <w:hyperlink w:anchor="_Toc244499275" w:history="1">
        <w:r w:rsidR="00FA5005" w:rsidRPr="00324A09">
          <w:rPr>
            <w:rStyle w:val="Hyperlink"/>
            <w:noProof/>
          </w:rPr>
          <w:t>A.</w:t>
        </w:r>
        <w:r w:rsidR="00FA5005">
          <w:rPr>
            <w:rFonts w:asciiTheme="minorHAnsi" w:eastAsiaTheme="minorEastAsia" w:hAnsiTheme="minorHAnsi" w:cstheme="minorBidi"/>
            <w:noProof/>
            <w:sz w:val="22"/>
            <w:szCs w:val="22"/>
          </w:rPr>
          <w:tab/>
        </w:r>
        <w:r w:rsidR="00FA5005" w:rsidRPr="00324A09">
          <w:rPr>
            <w:rStyle w:val="Hyperlink"/>
            <w:noProof/>
          </w:rPr>
          <w:t>Requirements of Act 129</w:t>
        </w:r>
        <w:r w:rsidR="00FA5005">
          <w:rPr>
            <w:noProof/>
            <w:webHidden/>
          </w:rPr>
          <w:tab/>
        </w:r>
        <w:r>
          <w:rPr>
            <w:noProof/>
            <w:webHidden/>
          </w:rPr>
          <w:fldChar w:fldCharType="begin"/>
        </w:r>
        <w:r w:rsidR="00FA5005">
          <w:rPr>
            <w:noProof/>
            <w:webHidden/>
          </w:rPr>
          <w:instrText xml:space="preserve"> PAGEREF _Toc244499275 \h </w:instrText>
        </w:r>
        <w:r>
          <w:rPr>
            <w:noProof/>
            <w:webHidden/>
          </w:rPr>
        </w:r>
        <w:r>
          <w:rPr>
            <w:noProof/>
            <w:webHidden/>
          </w:rPr>
          <w:fldChar w:fldCharType="separate"/>
        </w:r>
        <w:r w:rsidR="00B22FF4">
          <w:rPr>
            <w:noProof/>
            <w:webHidden/>
          </w:rPr>
          <w:t>13</w:t>
        </w:r>
        <w:r>
          <w:rPr>
            <w:noProof/>
            <w:webHidden/>
          </w:rPr>
          <w:fldChar w:fldCharType="end"/>
        </w:r>
      </w:hyperlink>
    </w:p>
    <w:p w:rsidR="00FA5005" w:rsidRDefault="00E02171">
      <w:pPr>
        <w:pStyle w:val="TOC2"/>
        <w:rPr>
          <w:rFonts w:asciiTheme="minorHAnsi" w:eastAsiaTheme="minorEastAsia" w:hAnsiTheme="minorHAnsi" w:cstheme="minorBidi"/>
          <w:noProof/>
          <w:sz w:val="22"/>
          <w:szCs w:val="22"/>
        </w:rPr>
      </w:pPr>
      <w:hyperlink w:anchor="_Toc244499276" w:history="1">
        <w:r w:rsidR="00FA5005" w:rsidRPr="00324A09">
          <w:rPr>
            <w:rStyle w:val="Hyperlink"/>
            <w:noProof/>
          </w:rPr>
          <w:t>B.</w:t>
        </w:r>
        <w:r w:rsidR="00FA5005">
          <w:rPr>
            <w:rFonts w:asciiTheme="minorHAnsi" w:eastAsiaTheme="minorEastAsia" w:hAnsiTheme="minorHAnsi" w:cstheme="minorBidi"/>
            <w:noProof/>
            <w:sz w:val="22"/>
            <w:szCs w:val="22"/>
          </w:rPr>
          <w:tab/>
        </w:r>
        <w:r w:rsidR="00FA5005" w:rsidRPr="00324A09">
          <w:rPr>
            <w:rStyle w:val="Hyperlink"/>
            <w:noProof/>
          </w:rPr>
          <w:t>The Plans</w:t>
        </w:r>
        <w:r w:rsidR="00FA5005">
          <w:rPr>
            <w:noProof/>
            <w:webHidden/>
          </w:rPr>
          <w:tab/>
        </w:r>
        <w:r>
          <w:rPr>
            <w:noProof/>
            <w:webHidden/>
          </w:rPr>
          <w:fldChar w:fldCharType="begin"/>
        </w:r>
        <w:r w:rsidR="00FA5005">
          <w:rPr>
            <w:noProof/>
            <w:webHidden/>
          </w:rPr>
          <w:instrText xml:space="preserve"> PAGEREF _Toc244499276 \h </w:instrText>
        </w:r>
        <w:r>
          <w:rPr>
            <w:noProof/>
            <w:webHidden/>
          </w:rPr>
        </w:r>
        <w:r>
          <w:rPr>
            <w:noProof/>
            <w:webHidden/>
          </w:rPr>
          <w:fldChar w:fldCharType="separate"/>
        </w:r>
        <w:r w:rsidR="00B22FF4">
          <w:rPr>
            <w:noProof/>
            <w:webHidden/>
          </w:rPr>
          <w:t>15</w:t>
        </w:r>
        <w:r>
          <w:rPr>
            <w:noProof/>
            <w:webHidden/>
          </w:rPr>
          <w:fldChar w:fldCharType="end"/>
        </w:r>
      </w:hyperlink>
    </w:p>
    <w:p w:rsidR="00FA5005" w:rsidRDefault="00E02171">
      <w:pPr>
        <w:pStyle w:val="TOC1"/>
        <w:tabs>
          <w:tab w:val="left" w:pos="720"/>
          <w:tab w:val="right" w:leader="dot" w:pos="9350"/>
        </w:tabs>
        <w:rPr>
          <w:rFonts w:asciiTheme="minorHAnsi" w:eastAsiaTheme="minorEastAsia" w:hAnsiTheme="minorHAnsi" w:cstheme="minorBidi"/>
          <w:noProof/>
          <w:sz w:val="22"/>
          <w:szCs w:val="22"/>
        </w:rPr>
      </w:pPr>
      <w:hyperlink w:anchor="_Toc244499277" w:history="1">
        <w:r w:rsidR="00FA5005" w:rsidRPr="00324A09">
          <w:rPr>
            <w:rStyle w:val="Hyperlink"/>
            <w:noProof/>
          </w:rPr>
          <w:t xml:space="preserve">V.  </w:t>
        </w:r>
        <w:r w:rsidR="00FA5005">
          <w:rPr>
            <w:rFonts w:asciiTheme="minorHAnsi" w:eastAsiaTheme="minorEastAsia" w:hAnsiTheme="minorHAnsi" w:cstheme="minorBidi"/>
            <w:noProof/>
            <w:sz w:val="22"/>
            <w:szCs w:val="22"/>
          </w:rPr>
          <w:tab/>
        </w:r>
        <w:r w:rsidR="00FA5005" w:rsidRPr="00324A09">
          <w:rPr>
            <w:rStyle w:val="Hyperlink"/>
            <w:noProof/>
          </w:rPr>
          <w:t>Discussion</w:t>
        </w:r>
        <w:r w:rsidR="00FA5005">
          <w:rPr>
            <w:noProof/>
            <w:webHidden/>
          </w:rPr>
          <w:tab/>
        </w:r>
        <w:r>
          <w:rPr>
            <w:noProof/>
            <w:webHidden/>
          </w:rPr>
          <w:fldChar w:fldCharType="begin"/>
        </w:r>
        <w:r w:rsidR="00FA5005">
          <w:rPr>
            <w:noProof/>
            <w:webHidden/>
          </w:rPr>
          <w:instrText xml:space="preserve"> PAGEREF _Toc244499277 \h </w:instrText>
        </w:r>
        <w:r>
          <w:rPr>
            <w:noProof/>
            <w:webHidden/>
          </w:rPr>
        </w:r>
        <w:r>
          <w:rPr>
            <w:noProof/>
            <w:webHidden/>
          </w:rPr>
          <w:fldChar w:fldCharType="separate"/>
        </w:r>
        <w:r w:rsidR="00B22FF4">
          <w:rPr>
            <w:noProof/>
            <w:webHidden/>
          </w:rPr>
          <w:t>18</w:t>
        </w:r>
        <w:r>
          <w:rPr>
            <w:noProof/>
            <w:webHidden/>
          </w:rPr>
          <w:fldChar w:fldCharType="end"/>
        </w:r>
      </w:hyperlink>
    </w:p>
    <w:p w:rsidR="00FA5005" w:rsidRDefault="00E02171">
      <w:pPr>
        <w:pStyle w:val="TOC2"/>
        <w:rPr>
          <w:rFonts w:asciiTheme="minorHAnsi" w:eastAsiaTheme="minorEastAsia" w:hAnsiTheme="minorHAnsi" w:cstheme="minorBidi"/>
          <w:noProof/>
          <w:sz w:val="22"/>
          <w:szCs w:val="22"/>
        </w:rPr>
      </w:pPr>
      <w:hyperlink w:anchor="_Toc244499278"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Act 129 Conservation and Demand Reduction Requirements</w:t>
        </w:r>
        <w:r w:rsidR="00FA5005">
          <w:rPr>
            <w:noProof/>
            <w:webHidden/>
          </w:rPr>
          <w:tab/>
        </w:r>
        <w:r>
          <w:rPr>
            <w:noProof/>
            <w:webHidden/>
          </w:rPr>
          <w:fldChar w:fldCharType="begin"/>
        </w:r>
        <w:r w:rsidR="00FA5005">
          <w:rPr>
            <w:noProof/>
            <w:webHidden/>
          </w:rPr>
          <w:instrText xml:space="preserve"> PAGEREF _Toc244499278 \h </w:instrText>
        </w:r>
        <w:r>
          <w:rPr>
            <w:noProof/>
            <w:webHidden/>
          </w:rPr>
        </w:r>
        <w:r>
          <w:rPr>
            <w:noProof/>
            <w:webHidden/>
          </w:rPr>
          <w:fldChar w:fldCharType="separate"/>
        </w:r>
        <w:r w:rsidR="00B22FF4">
          <w:rPr>
            <w:noProof/>
            <w:webHidden/>
          </w:rPr>
          <w:t>18</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279"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Overall Conservation Requirements</w:t>
        </w:r>
        <w:r w:rsidR="00FA5005">
          <w:rPr>
            <w:noProof/>
            <w:webHidden/>
          </w:rPr>
          <w:tab/>
        </w:r>
        <w:r>
          <w:rPr>
            <w:noProof/>
            <w:webHidden/>
          </w:rPr>
          <w:fldChar w:fldCharType="begin"/>
        </w:r>
        <w:r w:rsidR="00FA5005">
          <w:rPr>
            <w:noProof/>
            <w:webHidden/>
          </w:rPr>
          <w:instrText xml:space="preserve"> PAGEREF _Toc244499279 \h </w:instrText>
        </w:r>
        <w:r>
          <w:rPr>
            <w:noProof/>
            <w:webHidden/>
          </w:rPr>
        </w:r>
        <w:r>
          <w:rPr>
            <w:noProof/>
            <w:webHidden/>
          </w:rPr>
          <w:fldChar w:fldCharType="separate"/>
        </w:r>
        <w:r w:rsidR="00B22FF4">
          <w:rPr>
            <w:noProof/>
            <w:webHidden/>
          </w:rPr>
          <w:t>18</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280"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2011 Requirements</w:t>
        </w:r>
        <w:r w:rsidR="00FA5005">
          <w:rPr>
            <w:noProof/>
            <w:webHidden/>
          </w:rPr>
          <w:tab/>
        </w:r>
        <w:r>
          <w:rPr>
            <w:noProof/>
            <w:webHidden/>
          </w:rPr>
          <w:fldChar w:fldCharType="begin"/>
        </w:r>
        <w:r w:rsidR="00FA5005">
          <w:rPr>
            <w:noProof/>
            <w:webHidden/>
          </w:rPr>
          <w:instrText xml:space="preserve"> PAGEREF _Toc244499280 \h </w:instrText>
        </w:r>
        <w:r>
          <w:rPr>
            <w:noProof/>
            <w:webHidden/>
          </w:rPr>
        </w:r>
        <w:r>
          <w:rPr>
            <w:noProof/>
            <w:webHidden/>
          </w:rPr>
          <w:fldChar w:fldCharType="separate"/>
        </w:r>
        <w:r w:rsidR="00B22FF4">
          <w:rPr>
            <w:noProof/>
            <w:webHidden/>
          </w:rPr>
          <w:t>19</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281"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_Toc244499281 \h </w:instrText>
        </w:r>
        <w:r>
          <w:rPr>
            <w:noProof/>
            <w:webHidden/>
          </w:rPr>
        </w:r>
        <w:r>
          <w:rPr>
            <w:noProof/>
            <w:webHidden/>
          </w:rPr>
          <w:fldChar w:fldCharType="separate"/>
        </w:r>
        <w:r w:rsidR="00B22FF4">
          <w:rPr>
            <w:noProof/>
            <w:webHidden/>
          </w:rPr>
          <w:t>19</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282"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_Toc244499282 \h </w:instrText>
        </w:r>
        <w:r>
          <w:rPr>
            <w:noProof/>
            <w:webHidden/>
          </w:rPr>
        </w:r>
        <w:r>
          <w:rPr>
            <w:noProof/>
            <w:webHidden/>
          </w:rPr>
          <w:fldChar w:fldCharType="separate"/>
        </w:r>
        <w:r w:rsidR="00B22FF4">
          <w:rPr>
            <w:noProof/>
            <w:webHidden/>
          </w:rPr>
          <w:t>21</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283"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2013 Requirements</w:t>
        </w:r>
        <w:r w:rsidR="00FA5005">
          <w:rPr>
            <w:noProof/>
            <w:webHidden/>
          </w:rPr>
          <w:tab/>
        </w:r>
        <w:r>
          <w:rPr>
            <w:noProof/>
            <w:webHidden/>
          </w:rPr>
          <w:fldChar w:fldCharType="begin"/>
        </w:r>
        <w:r w:rsidR="00FA5005">
          <w:rPr>
            <w:noProof/>
            <w:webHidden/>
          </w:rPr>
          <w:instrText xml:space="preserve"> PAGEREF _Toc244499283 \h </w:instrText>
        </w:r>
        <w:r>
          <w:rPr>
            <w:noProof/>
            <w:webHidden/>
          </w:rPr>
        </w:r>
        <w:r>
          <w:rPr>
            <w:noProof/>
            <w:webHidden/>
          </w:rPr>
          <w:fldChar w:fldCharType="separate"/>
        </w:r>
        <w:r w:rsidR="00B22FF4">
          <w:rPr>
            <w:noProof/>
            <w:webHidden/>
          </w:rPr>
          <w:t>23</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284"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_Toc244499284 \h </w:instrText>
        </w:r>
        <w:r>
          <w:rPr>
            <w:noProof/>
            <w:webHidden/>
          </w:rPr>
        </w:r>
        <w:r>
          <w:rPr>
            <w:noProof/>
            <w:webHidden/>
          </w:rPr>
          <w:fldChar w:fldCharType="separate"/>
        </w:r>
        <w:r w:rsidR="00B22FF4">
          <w:rPr>
            <w:noProof/>
            <w:webHidden/>
          </w:rPr>
          <w:t>23</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285"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_Toc244499285 \h </w:instrText>
        </w:r>
        <w:r>
          <w:rPr>
            <w:noProof/>
            <w:webHidden/>
          </w:rPr>
        </w:r>
        <w:r>
          <w:rPr>
            <w:noProof/>
            <w:webHidden/>
          </w:rPr>
          <w:fldChar w:fldCharType="separate"/>
        </w:r>
        <w:r w:rsidR="00B22FF4">
          <w:rPr>
            <w:noProof/>
            <w:webHidden/>
          </w:rPr>
          <w:t>23</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286"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Overall Demand Reduction Requirements</w:t>
        </w:r>
        <w:r w:rsidR="00FA5005">
          <w:rPr>
            <w:noProof/>
            <w:webHidden/>
          </w:rPr>
          <w:tab/>
        </w:r>
        <w:r>
          <w:rPr>
            <w:noProof/>
            <w:webHidden/>
          </w:rPr>
          <w:fldChar w:fldCharType="begin"/>
        </w:r>
        <w:r w:rsidR="00FA5005">
          <w:rPr>
            <w:noProof/>
            <w:webHidden/>
          </w:rPr>
          <w:instrText xml:space="preserve"> PAGEREF _Toc244499286 \h </w:instrText>
        </w:r>
        <w:r>
          <w:rPr>
            <w:noProof/>
            <w:webHidden/>
          </w:rPr>
        </w:r>
        <w:r>
          <w:rPr>
            <w:noProof/>
            <w:webHidden/>
          </w:rPr>
          <w:fldChar w:fldCharType="separate"/>
        </w:r>
        <w:r w:rsidR="00B22FF4">
          <w:rPr>
            <w:noProof/>
            <w:webHidden/>
          </w:rPr>
          <w:t>23</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287"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_Toc244499287 \h </w:instrText>
        </w:r>
        <w:r>
          <w:rPr>
            <w:noProof/>
            <w:webHidden/>
          </w:rPr>
        </w:r>
        <w:r>
          <w:rPr>
            <w:noProof/>
            <w:webHidden/>
          </w:rPr>
          <w:fldChar w:fldCharType="separate"/>
        </w:r>
        <w:r w:rsidR="00B22FF4">
          <w:rPr>
            <w:noProof/>
            <w:webHidden/>
          </w:rPr>
          <w:t>24</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288"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_Toc244499288 \h </w:instrText>
        </w:r>
        <w:r>
          <w:rPr>
            <w:noProof/>
            <w:webHidden/>
          </w:rPr>
        </w:r>
        <w:r>
          <w:rPr>
            <w:noProof/>
            <w:webHidden/>
          </w:rPr>
          <w:fldChar w:fldCharType="separate"/>
        </w:r>
        <w:r w:rsidR="00B22FF4">
          <w:rPr>
            <w:noProof/>
            <w:webHidden/>
          </w:rPr>
          <w:t>25</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289" w:history="1">
        <w:r w:rsidR="00FA5005" w:rsidRPr="00324A09">
          <w:rPr>
            <w:rStyle w:val="Hyperlink"/>
            <w:noProof/>
          </w:rPr>
          <w:t xml:space="preserve">3.  </w:t>
        </w:r>
        <w:r w:rsidR="00FA5005">
          <w:rPr>
            <w:rFonts w:asciiTheme="minorHAnsi" w:eastAsiaTheme="minorEastAsia" w:hAnsiTheme="minorHAnsi" w:cstheme="minorBidi"/>
            <w:noProof/>
            <w:sz w:val="22"/>
            <w:szCs w:val="22"/>
          </w:rPr>
          <w:tab/>
        </w:r>
        <w:r w:rsidR="00FA5005" w:rsidRPr="00324A09">
          <w:rPr>
            <w:rStyle w:val="Hyperlink"/>
            <w:noProof/>
          </w:rPr>
          <w:t>Requirements for a Variety of Programs Equitably Distributed</w:t>
        </w:r>
        <w:r w:rsidR="00FA5005">
          <w:rPr>
            <w:noProof/>
            <w:webHidden/>
          </w:rPr>
          <w:tab/>
        </w:r>
        <w:r>
          <w:rPr>
            <w:noProof/>
            <w:webHidden/>
          </w:rPr>
          <w:fldChar w:fldCharType="begin"/>
        </w:r>
        <w:r w:rsidR="00FA5005">
          <w:rPr>
            <w:noProof/>
            <w:webHidden/>
          </w:rPr>
          <w:instrText xml:space="preserve"> PAGEREF _Toc244499289 \h </w:instrText>
        </w:r>
        <w:r>
          <w:rPr>
            <w:noProof/>
            <w:webHidden/>
          </w:rPr>
        </w:r>
        <w:r>
          <w:rPr>
            <w:noProof/>
            <w:webHidden/>
          </w:rPr>
          <w:fldChar w:fldCharType="separate"/>
        </w:r>
        <w:r w:rsidR="00B22FF4">
          <w:rPr>
            <w:noProof/>
            <w:webHidden/>
          </w:rPr>
          <w:t>25</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290"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_Toc244499290 \h </w:instrText>
        </w:r>
        <w:r>
          <w:rPr>
            <w:noProof/>
            <w:webHidden/>
          </w:rPr>
        </w:r>
        <w:r>
          <w:rPr>
            <w:noProof/>
            <w:webHidden/>
          </w:rPr>
          <w:fldChar w:fldCharType="separate"/>
        </w:r>
        <w:r w:rsidR="00B22FF4">
          <w:rPr>
            <w:noProof/>
            <w:webHidden/>
          </w:rPr>
          <w:t>25</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291"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_Toc244499291 \h </w:instrText>
        </w:r>
        <w:r>
          <w:rPr>
            <w:noProof/>
            <w:webHidden/>
          </w:rPr>
        </w:r>
        <w:r>
          <w:rPr>
            <w:noProof/>
            <w:webHidden/>
          </w:rPr>
          <w:fldChar w:fldCharType="separate"/>
        </w:r>
        <w:r w:rsidR="00B22FF4">
          <w:rPr>
            <w:noProof/>
            <w:webHidden/>
          </w:rPr>
          <w:t>29</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292" w:history="1">
        <w:r w:rsidR="00FA5005" w:rsidRPr="00324A09">
          <w:rPr>
            <w:rStyle w:val="Hyperlink"/>
            <w:noProof/>
          </w:rPr>
          <w:t xml:space="preserve">4.  </w:t>
        </w:r>
        <w:r w:rsidR="00FA5005">
          <w:rPr>
            <w:rFonts w:asciiTheme="minorHAnsi" w:eastAsiaTheme="minorEastAsia" w:hAnsiTheme="minorHAnsi" w:cstheme="minorBidi"/>
            <w:noProof/>
            <w:sz w:val="22"/>
            <w:szCs w:val="22"/>
          </w:rPr>
          <w:tab/>
        </w:r>
        <w:r w:rsidR="00FA5005" w:rsidRPr="00324A09">
          <w:rPr>
            <w:rStyle w:val="Hyperlink"/>
            <w:noProof/>
          </w:rPr>
          <w:t>Ten Percent Government/Non-Profit Requirement</w:t>
        </w:r>
        <w:r w:rsidR="00FA5005">
          <w:rPr>
            <w:noProof/>
            <w:webHidden/>
          </w:rPr>
          <w:tab/>
        </w:r>
        <w:r>
          <w:rPr>
            <w:noProof/>
            <w:webHidden/>
          </w:rPr>
          <w:fldChar w:fldCharType="begin"/>
        </w:r>
        <w:r w:rsidR="00FA5005">
          <w:rPr>
            <w:noProof/>
            <w:webHidden/>
          </w:rPr>
          <w:instrText xml:space="preserve"> PAGEREF _Toc244499292 \h </w:instrText>
        </w:r>
        <w:r>
          <w:rPr>
            <w:noProof/>
            <w:webHidden/>
          </w:rPr>
        </w:r>
        <w:r>
          <w:rPr>
            <w:noProof/>
            <w:webHidden/>
          </w:rPr>
          <w:fldChar w:fldCharType="separate"/>
        </w:r>
        <w:r w:rsidR="00B22FF4">
          <w:rPr>
            <w:noProof/>
            <w:webHidden/>
          </w:rPr>
          <w:t>30</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293"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_Toc244499293 \h </w:instrText>
        </w:r>
        <w:r>
          <w:rPr>
            <w:noProof/>
            <w:webHidden/>
          </w:rPr>
        </w:r>
        <w:r>
          <w:rPr>
            <w:noProof/>
            <w:webHidden/>
          </w:rPr>
          <w:fldChar w:fldCharType="separate"/>
        </w:r>
        <w:r w:rsidR="00B22FF4">
          <w:rPr>
            <w:noProof/>
            <w:webHidden/>
          </w:rPr>
          <w:t>30</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294"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_Toc244499294 \h </w:instrText>
        </w:r>
        <w:r>
          <w:rPr>
            <w:noProof/>
            <w:webHidden/>
          </w:rPr>
        </w:r>
        <w:r>
          <w:rPr>
            <w:noProof/>
            <w:webHidden/>
          </w:rPr>
          <w:fldChar w:fldCharType="separate"/>
        </w:r>
        <w:r w:rsidR="00B22FF4">
          <w:rPr>
            <w:noProof/>
            <w:webHidden/>
          </w:rPr>
          <w:t>33</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295" w:history="1">
        <w:r w:rsidR="00FA5005" w:rsidRPr="00324A09">
          <w:rPr>
            <w:rStyle w:val="Hyperlink"/>
            <w:noProof/>
          </w:rPr>
          <w:t xml:space="preserve">5.  </w:t>
        </w:r>
        <w:r w:rsidR="00FA5005">
          <w:rPr>
            <w:rFonts w:asciiTheme="minorHAnsi" w:eastAsiaTheme="minorEastAsia" w:hAnsiTheme="minorHAnsi" w:cstheme="minorBidi"/>
            <w:noProof/>
            <w:sz w:val="22"/>
            <w:szCs w:val="22"/>
          </w:rPr>
          <w:tab/>
        </w:r>
        <w:r w:rsidR="00FA5005" w:rsidRPr="00324A09">
          <w:rPr>
            <w:rStyle w:val="Hyperlink"/>
            <w:noProof/>
          </w:rPr>
          <w:t>Low-income Program Requirements</w:t>
        </w:r>
        <w:r w:rsidR="00FA5005">
          <w:rPr>
            <w:noProof/>
            <w:webHidden/>
          </w:rPr>
          <w:tab/>
        </w:r>
        <w:r>
          <w:rPr>
            <w:noProof/>
            <w:webHidden/>
          </w:rPr>
          <w:fldChar w:fldCharType="begin"/>
        </w:r>
        <w:r w:rsidR="00FA5005">
          <w:rPr>
            <w:noProof/>
            <w:webHidden/>
          </w:rPr>
          <w:instrText xml:space="preserve"> PAGEREF _Toc244499295 \h </w:instrText>
        </w:r>
        <w:r>
          <w:rPr>
            <w:noProof/>
            <w:webHidden/>
          </w:rPr>
        </w:r>
        <w:r>
          <w:rPr>
            <w:noProof/>
            <w:webHidden/>
          </w:rPr>
          <w:fldChar w:fldCharType="separate"/>
        </w:r>
        <w:r w:rsidR="00B22FF4">
          <w:rPr>
            <w:noProof/>
            <w:webHidden/>
          </w:rPr>
          <w:t>33</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296"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_Toc244499296 \h </w:instrText>
        </w:r>
        <w:r>
          <w:rPr>
            <w:noProof/>
            <w:webHidden/>
          </w:rPr>
        </w:r>
        <w:r>
          <w:rPr>
            <w:noProof/>
            <w:webHidden/>
          </w:rPr>
          <w:fldChar w:fldCharType="separate"/>
        </w:r>
        <w:r w:rsidR="00B22FF4">
          <w:rPr>
            <w:noProof/>
            <w:webHidden/>
          </w:rPr>
          <w:t>33</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297"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_Toc244499297 \h </w:instrText>
        </w:r>
        <w:r>
          <w:rPr>
            <w:noProof/>
            <w:webHidden/>
          </w:rPr>
        </w:r>
        <w:r>
          <w:rPr>
            <w:noProof/>
            <w:webHidden/>
          </w:rPr>
          <w:fldChar w:fldCharType="separate"/>
        </w:r>
        <w:r w:rsidR="00B22FF4">
          <w:rPr>
            <w:noProof/>
            <w:webHidden/>
          </w:rPr>
          <w:t>36</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298" w:history="1">
        <w:r w:rsidR="00FA5005" w:rsidRPr="00324A09">
          <w:rPr>
            <w:rStyle w:val="Hyperlink"/>
            <w:noProof/>
          </w:rPr>
          <w:t xml:space="preserve">6.  </w:t>
        </w:r>
        <w:r w:rsidR="00FA5005">
          <w:rPr>
            <w:rFonts w:asciiTheme="minorHAnsi" w:eastAsiaTheme="minorEastAsia" w:hAnsiTheme="minorHAnsi" w:cstheme="minorBidi"/>
            <w:noProof/>
            <w:sz w:val="22"/>
            <w:szCs w:val="22"/>
          </w:rPr>
          <w:tab/>
        </w:r>
        <w:r w:rsidR="00FA5005" w:rsidRPr="00324A09">
          <w:rPr>
            <w:rStyle w:val="Hyperlink"/>
            <w:noProof/>
          </w:rPr>
          <w:t>Issues Relating to Individual Conservation and Demand Reduction Programs</w:t>
        </w:r>
        <w:r w:rsidR="00FA5005">
          <w:rPr>
            <w:noProof/>
            <w:webHidden/>
          </w:rPr>
          <w:tab/>
        </w:r>
        <w:r>
          <w:rPr>
            <w:noProof/>
            <w:webHidden/>
          </w:rPr>
          <w:fldChar w:fldCharType="begin"/>
        </w:r>
        <w:r w:rsidR="00FA5005">
          <w:rPr>
            <w:noProof/>
            <w:webHidden/>
          </w:rPr>
          <w:instrText xml:space="preserve"> PAGEREF _Toc244499298 \h </w:instrText>
        </w:r>
        <w:r>
          <w:rPr>
            <w:noProof/>
            <w:webHidden/>
          </w:rPr>
        </w:r>
        <w:r>
          <w:rPr>
            <w:noProof/>
            <w:webHidden/>
          </w:rPr>
          <w:fldChar w:fldCharType="separate"/>
        </w:r>
        <w:r w:rsidR="00B22FF4">
          <w:rPr>
            <w:noProof/>
            <w:webHidden/>
          </w:rPr>
          <w:t>39</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299"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Residential</w:t>
        </w:r>
        <w:r w:rsidR="00FA5005">
          <w:rPr>
            <w:noProof/>
            <w:webHidden/>
          </w:rPr>
          <w:tab/>
        </w:r>
        <w:r>
          <w:rPr>
            <w:noProof/>
            <w:webHidden/>
          </w:rPr>
          <w:fldChar w:fldCharType="begin"/>
        </w:r>
        <w:r w:rsidR="00FA5005">
          <w:rPr>
            <w:noProof/>
            <w:webHidden/>
          </w:rPr>
          <w:instrText xml:space="preserve"> PAGEREF _Toc244499299 \h </w:instrText>
        </w:r>
        <w:r>
          <w:rPr>
            <w:noProof/>
            <w:webHidden/>
          </w:rPr>
        </w:r>
        <w:r>
          <w:rPr>
            <w:noProof/>
            <w:webHidden/>
          </w:rPr>
          <w:fldChar w:fldCharType="separate"/>
        </w:r>
        <w:r w:rsidR="00B22FF4">
          <w:rPr>
            <w:noProof/>
            <w:webHidden/>
          </w:rPr>
          <w:t>39</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00"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Commercial</w:t>
        </w:r>
        <w:r w:rsidR="00FA5005">
          <w:rPr>
            <w:noProof/>
            <w:webHidden/>
          </w:rPr>
          <w:tab/>
        </w:r>
        <w:r>
          <w:rPr>
            <w:noProof/>
            <w:webHidden/>
          </w:rPr>
          <w:fldChar w:fldCharType="begin"/>
        </w:r>
        <w:r w:rsidR="00FA5005">
          <w:rPr>
            <w:noProof/>
            <w:webHidden/>
          </w:rPr>
          <w:instrText xml:space="preserve"> PAGEREF _Toc244499300 \h </w:instrText>
        </w:r>
        <w:r>
          <w:rPr>
            <w:noProof/>
            <w:webHidden/>
          </w:rPr>
        </w:r>
        <w:r>
          <w:rPr>
            <w:noProof/>
            <w:webHidden/>
          </w:rPr>
          <w:fldChar w:fldCharType="separate"/>
        </w:r>
        <w:r w:rsidR="00B22FF4">
          <w:rPr>
            <w:noProof/>
            <w:webHidden/>
          </w:rPr>
          <w:t>39</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01" w:history="1">
        <w:r w:rsidR="00FA5005" w:rsidRPr="00324A09">
          <w:rPr>
            <w:rStyle w:val="Hyperlink"/>
            <w:noProof/>
          </w:rPr>
          <w:t xml:space="preserve">c.  </w:t>
        </w:r>
        <w:r w:rsidR="00FA5005">
          <w:rPr>
            <w:rFonts w:asciiTheme="minorHAnsi" w:eastAsiaTheme="minorEastAsia" w:hAnsiTheme="minorHAnsi" w:cstheme="minorBidi"/>
            <w:noProof/>
            <w:sz w:val="22"/>
            <w:szCs w:val="22"/>
          </w:rPr>
          <w:tab/>
        </w:r>
        <w:r w:rsidR="00FA5005" w:rsidRPr="00324A09">
          <w:rPr>
            <w:rStyle w:val="Hyperlink"/>
            <w:noProof/>
          </w:rPr>
          <w:t>Industrial</w:t>
        </w:r>
        <w:r w:rsidR="00FA5005">
          <w:rPr>
            <w:noProof/>
            <w:webHidden/>
          </w:rPr>
          <w:tab/>
        </w:r>
        <w:r>
          <w:rPr>
            <w:noProof/>
            <w:webHidden/>
          </w:rPr>
          <w:fldChar w:fldCharType="begin"/>
        </w:r>
        <w:r w:rsidR="00FA5005">
          <w:rPr>
            <w:noProof/>
            <w:webHidden/>
          </w:rPr>
          <w:instrText xml:space="preserve"> PAGEREF _Toc244499301 \h </w:instrText>
        </w:r>
        <w:r>
          <w:rPr>
            <w:noProof/>
            <w:webHidden/>
          </w:rPr>
        </w:r>
        <w:r>
          <w:rPr>
            <w:noProof/>
            <w:webHidden/>
          </w:rPr>
          <w:fldChar w:fldCharType="separate"/>
        </w:r>
        <w:r w:rsidR="00B22FF4">
          <w:rPr>
            <w:noProof/>
            <w:webHidden/>
          </w:rPr>
          <w:t>40</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02" w:history="1">
        <w:r w:rsidR="00FA5005" w:rsidRPr="00324A09">
          <w:rPr>
            <w:rStyle w:val="Hyperlink"/>
            <w:noProof/>
          </w:rPr>
          <w:t>d.</w:t>
        </w:r>
        <w:r w:rsidR="00FA5005">
          <w:rPr>
            <w:rFonts w:asciiTheme="minorHAnsi" w:eastAsiaTheme="minorEastAsia" w:hAnsiTheme="minorHAnsi" w:cstheme="minorBidi"/>
            <w:noProof/>
            <w:sz w:val="22"/>
            <w:szCs w:val="22"/>
          </w:rPr>
          <w:tab/>
        </w:r>
        <w:r w:rsidR="00FA5005" w:rsidRPr="00324A09">
          <w:rPr>
            <w:rStyle w:val="Hyperlink"/>
            <w:noProof/>
          </w:rPr>
          <w:t>Generic Issues</w:t>
        </w:r>
        <w:r w:rsidR="00FA5005">
          <w:rPr>
            <w:noProof/>
            <w:webHidden/>
          </w:rPr>
          <w:tab/>
        </w:r>
        <w:r>
          <w:rPr>
            <w:noProof/>
            <w:webHidden/>
          </w:rPr>
          <w:fldChar w:fldCharType="begin"/>
        </w:r>
        <w:r w:rsidR="00FA5005">
          <w:rPr>
            <w:noProof/>
            <w:webHidden/>
          </w:rPr>
          <w:instrText xml:space="preserve"> PAGEREF _Toc244499302 \h </w:instrText>
        </w:r>
        <w:r>
          <w:rPr>
            <w:noProof/>
            <w:webHidden/>
          </w:rPr>
        </w:r>
        <w:r>
          <w:rPr>
            <w:noProof/>
            <w:webHidden/>
          </w:rPr>
          <w:fldChar w:fldCharType="separate"/>
        </w:r>
        <w:r w:rsidR="00B22FF4">
          <w:rPr>
            <w:noProof/>
            <w:webHidden/>
          </w:rPr>
          <w:t>40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03"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Fuel Switching</w:t>
        </w:r>
        <w:r w:rsidR="00FA5005">
          <w:rPr>
            <w:noProof/>
            <w:webHidden/>
          </w:rPr>
          <w:tab/>
        </w:r>
        <w:r>
          <w:rPr>
            <w:noProof/>
            <w:webHidden/>
          </w:rPr>
          <w:fldChar w:fldCharType="begin"/>
        </w:r>
        <w:r w:rsidR="00FA5005">
          <w:rPr>
            <w:noProof/>
            <w:webHidden/>
          </w:rPr>
          <w:instrText xml:space="preserve"> PAGEREF _Toc244499303 \h </w:instrText>
        </w:r>
        <w:r>
          <w:rPr>
            <w:noProof/>
            <w:webHidden/>
          </w:rPr>
        </w:r>
        <w:r>
          <w:rPr>
            <w:noProof/>
            <w:webHidden/>
          </w:rPr>
          <w:fldChar w:fldCharType="separate"/>
        </w:r>
        <w:r w:rsidR="00B22FF4">
          <w:rPr>
            <w:noProof/>
            <w:webHidden/>
          </w:rPr>
          <w:t>40</w:t>
        </w:r>
        <w:r>
          <w:rPr>
            <w:noProof/>
            <w:webHidden/>
          </w:rPr>
          <w:fldChar w:fldCharType="end"/>
        </w:r>
      </w:hyperlink>
    </w:p>
    <w:p w:rsidR="00FA5005" w:rsidRDefault="00E02171">
      <w:pPr>
        <w:pStyle w:val="TOC6"/>
        <w:rPr>
          <w:rFonts w:asciiTheme="minorHAnsi" w:hAnsiTheme="minorHAnsi" w:cstheme="minorBidi"/>
        </w:rPr>
      </w:pPr>
      <w:hyperlink w:anchor="_Toc244499304" w:history="1">
        <w:r w:rsidR="00FA5005" w:rsidRPr="00324A09">
          <w:rPr>
            <w:rStyle w:val="Hyperlink"/>
          </w:rPr>
          <w:t>(A)</w:t>
        </w:r>
        <w:r w:rsidR="00FA5005">
          <w:rPr>
            <w:rFonts w:asciiTheme="minorHAnsi" w:hAnsiTheme="minorHAnsi" w:cstheme="minorBidi"/>
          </w:rPr>
          <w:tab/>
        </w:r>
        <w:r w:rsidR="00FA5005" w:rsidRPr="00324A09">
          <w:rPr>
            <w:rStyle w:val="Hyperlink"/>
          </w:rPr>
          <w:t>Positions of the Parties</w:t>
        </w:r>
        <w:r w:rsidR="00FA5005">
          <w:rPr>
            <w:webHidden/>
          </w:rPr>
          <w:tab/>
        </w:r>
        <w:r>
          <w:rPr>
            <w:webHidden/>
          </w:rPr>
          <w:fldChar w:fldCharType="begin"/>
        </w:r>
        <w:r w:rsidR="00FA5005">
          <w:rPr>
            <w:webHidden/>
          </w:rPr>
          <w:instrText xml:space="preserve"> PAGEREF _Toc244499304 \h </w:instrText>
        </w:r>
        <w:r>
          <w:rPr>
            <w:webHidden/>
          </w:rPr>
        </w:r>
        <w:r>
          <w:rPr>
            <w:webHidden/>
          </w:rPr>
          <w:fldChar w:fldCharType="separate"/>
        </w:r>
        <w:r w:rsidR="00B22FF4">
          <w:rPr>
            <w:webHidden/>
          </w:rPr>
          <w:t>40</w:t>
        </w:r>
        <w:r>
          <w:rPr>
            <w:webHidden/>
          </w:rPr>
          <w:fldChar w:fldCharType="end"/>
        </w:r>
      </w:hyperlink>
    </w:p>
    <w:p w:rsidR="00FA5005" w:rsidRDefault="00E02171">
      <w:pPr>
        <w:pStyle w:val="TOC6"/>
        <w:rPr>
          <w:rFonts w:asciiTheme="minorHAnsi" w:hAnsiTheme="minorHAnsi" w:cstheme="minorBidi"/>
        </w:rPr>
      </w:pPr>
      <w:hyperlink w:anchor="_Toc244499305" w:history="1">
        <w:r w:rsidR="00FA5005" w:rsidRPr="00324A09">
          <w:rPr>
            <w:rStyle w:val="Hyperlink"/>
          </w:rPr>
          <w:t>(B)      Disposition</w:t>
        </w:r>
        <w:r w:rsidR="00FA5005">
          <w:rPr>
            <w:webHidden/>
          </w:rPr>
          <w:tab/>
        </w:r>
        <w:r>
          <w:rPr>
            <w:webHidden/>
          </w:rPr>
          <w:fldChar w:fldCharType="begin"/>
        </w:r>
        <w:r w:rsidR="00FA5005">
          <w:rPr>
            <w:webHidden/>
          </w:rPr>
          <w:instrText xml:space="preserve"> PAGEREF _Toc244499305 \h </w:instrText>
        </w:r>
        <w:r>
          <w:rPr>
            <w:webHidden/>
          </w:rPr>
        </w:r>
        <w:r>
          <w:rPr>
            <w:webHidden/>
          </w:rPr>
          <w:fldChar w:fldCharType="separate"/>
        </w:r>
        <w:r w:rsidR="00B22FF4">
          <w:rPr>
            <w:webHidden/>
          </w:rPr>
          <w:t>42</w:t>
        </w:r>
        <w:r>
          <w:rPr>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06"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Distributed Generation</w:t>
        </w:r>
        <w:r w:rsidR="00FA5005">
          <w:rPr>
            <w:noProof/>
            <w:webHidden/>
          </w:rPr>
          <w:tab/>
        </w:r>
        <w:r>
          <w:rPr>
            <w:noProof/>
            <w:webHidden/>
          </w:rPr>
          <w:fldChar w:fldCharType="begin"/>
        </w:r>
        <w:r w:rsidR="00FA5005">
          <w:rPr>
            <w:noProof/>
            <w:webHidden/>
          </w:rPr>
          <w:instrText xml:space="preserve"> PAGEREF _Toc244499306 \h </w:instrText>
        </w:r>
        <w:r>
          <w:rPr>
            <w:noProof/>
            <w:webHidden/>
          </w:rPr>
        </w:r>
        <w:r>
          <w:rPr>
            <w:noProof/>
            <w:webHidden/>
          </w:rPr>
          <w:fldChar w:fldCharType="separate"/>
        </w:r>
        <w:r w:rsidR="00B22FF4">
          <w:rPr>
            <w:noProof/>
            <w:webHidden/>
          </w:rPr>
          <w:t>44</w:t>
        </w:r>
        <w:r>
          <w:rPr>
            <w:noProof/>
            <w:webHidden/>
          </w:rPr>
          <w:fldChar w:fldCharType="end"/>
        </w:r>
      </w:hyperlink>
    </w:p>
    <w:p w:rsidR="00FA5005" w:rsidRDefault="00E02171">
      <w:pPr>
        <w:pStyle w:val="TOC6"/>
        <w:rPr>
          <w:rFonts w:asciiTheme="minorHAnsi" w:hAnsiTheme="minorHAnsi" w:cstheme="minorBidi"/>
        </w:rPr>
      </w:pPr>
      <w:hyperlink w:anchor="_Toc244499307" w:history="1">
        <w:r w:rsidR="00FA5005" w:rsidRPr="00324A09">
          <w:rPr>
            <w:rStyle w:val="Hyperlink"/>
          </w:rPr>
          <w:t>(A)</w:t>
        </w:r>
        <w:r w:rsidR="00FA5005">
          <w:rPr>
            <w:rFonts w:asciiTheme="minorHAnsi" w:hAnsiTheme="minorHAnsi" w:cstheme="minorBidi"/>
          </w:rPr>
          <w:tab/>
        </w:r>
        <w:r w:rsidR="00FA5005" w:rsidRPr="00324A09">
          <w:rPr>
            <w:rStyle w:val="Hyperlink"/>
          </w:rPr>
          <w:t>Positions of the Parties</w:t>
        </w:r>
        <w:r w:rsidR="00FA5005">
          <w:rPr>
            <w:webHidden/>
          </w:rPr>
          <w:tab/>
        </w:r>
        <w:r>
          <w:rPr>
            <w:webHidden/>
          </w:rPr>
          <w:fldChar w:fldCharType="begin"/>
        </w:r>
        <w:r w:rsidR="00FA5005">
          <w:rPr>
            <w:webHidden/>
          </w:rPr>
          <w:instrText xml:space="preserve"> PAGEREF _Toc244499307 \h </w:instrText>
        </w:r>
        <w:r>
          <w:rPr>
            <w:webHidden/>
          </w:rPr>
        </w:r>
        <w:r>
          <w:rPr>
            <w:webHidden/>
          </w:rPr>
          <w:fldChar w:fldCharType="separate"/>
        </w:r>
        <w:r w:rsidR="00B22FF4">
          <w:rPr>
            <w:webHidden/>
          </w:rPr>
          <w:t>44</w:t>
        </w:r>
        <w:r>
          <w:rPr>
            <w:webHidden/>
          </w:rPr>
          <w:fldChar w:fldCharType="end"/>
        </w:r>
      </w:hyperlink>
    </w:p>
    <w:p w:rsidR="00FA5005" w:rsidRDefault="00E02171">
      <w:pPr>
        <w:pStyle w:val="TOC6"/>
        <w:rPr>
          <w:rFonts w:asciiTheme="minorHAnsi" w:hAnsiTheme="minorHAnsi" w:cstheme="minorBidi"/>
        </w:rPr>
      </w:pPr>
      <w:hyperlink w:anchor="_Toc244499308" w:history="1">
        <w:r w:rsidR="00FA5005" w:rsidRPr="00324A09">
          <w:rPr>
            <w:rStyle w:val="Hyperlink"/>
          </w:rPr>
          <w:t>(B)</w:t>
        </w:r>
        <w:r w:rsidR="00FA5005">
          <w:rPr>
            <w:rFonts w:asciiTheme="minorHAnsi" w:hAnsiTheme="minorHAnsi" w:cstheme="minorBidi"/>
          </w:rPr>
          <w:tab/>
        </w:r>
        <w:r w:rsidR="00FA5005" w:rsidRPr="00324A09">
          <w:rPr>
            <w:rStyle w:val="Hyperlink"/>
          </w:rPr>
          <w:t>Disposition</w:t>
        </w:r>
        <w:r w:rsidR="00FA5005">
          <w:rPr>
            <w:webHidden/>
          </w:rPr>
          <w:tab/>
        </w:r>
        <w:r>
          <w:rPr>
            <w:webHidden/>
          </w:rPr>
          <w:fldChar w:fldCharType="begin"/>
        </w:r>
        <w:r w:rsidR="00FA5005">
          <w:rPr>
            <w:webHidden/>
          </w:rPr>
          <w:instrText xml:space="preserve"> PAGEREF _Toc244499308 \h </w:instrText>
        </w:r>
        <w:r>
          <w:rPr>
            <w:webHidden/>
          </w:rPr>
        </w:r>
        <w:r>
          <w:rPr>
            <w:webHidden/>
          </w:rPr>
          <w:fldChar w:fldCharType="separate"/>
        </w:r>
        <w:r w:rsidR="00B22FF4">
          <w:rPr>
            <w:webHidden/>
          </w:rPr>
          <w:t>46</w:t>
        </w:r>
        <w:r>
          <w:rPr>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309" w:history="1">
        <w:r w:rsidR="00FA5005" w:rsidRPr="00324A09">
          <w:rPr>
            <w:rStyle w:val="Hyperlink"/>
            <w:noProof/>
          </w:rPr>
          <w:t xml:space="preserve">7.  </w:t>
        </w:r>
        <w:r w:rsidR="00FA5005">
          <w:rPr>
            <w:rFonts w:asciiTheme="minorHAnsi" w:eastAsiaTheme="minorEastAsia" w:hAnsiTheme="minorHAnsi" w:cstheme="minorBidi"/>
            <w:noProof/>
            <w:sz w:val="22"/>
            <w:szCs w:val="22"/>
          </w:rPr>
          <w:tab/>
        </w:r>
        <w:r w:rsidR="00FA5005" w:rsidRPr="00324A09">
          <w:rPr>
            <w:rStyle w:val="Hyperlink"/>
            <w:noProof/>
          </w:rPr>
          <w:t>Proposals for Improvement of EDC Plan</w:t>
        </w:r>
        <w:r w:rsidR="00FA5005">
          <w:rPr>
            <w:noProof/>
            <w:webHidden/>
          </w:rPr>
          <w:tab/>
        </w:r>
        <w:r>
          <w:rPr>
            <w:noProof/>
            <w:webHidden/>
          </w:rPr>
          <w:fldChar w:fldCharType="begin"/>
        </w:r>
        <w:r w:rsidR="00FA5005">
          <w:rPr>
            <w:noProof/>
            <w:webHidden/>
          </w:rPr>
          <w:instrText xml:space="preserve"> PAGEREF _Toc244499309 \h </w:instrText>
        </w:r>
        <w:r>
          <w:rPr>
            <w:noProof/>
            <w:webHidden/>
          </w:rPr>
        </w:r>
        <w:r>
          <w:rPr>
            <w:noProof/>
            <w:webHidden/>
          </w:rPr>
          <w:fldChar w:fldCharType="separate"/>
        </w:r>
        <w:r w:rsidR="00B22FF4">
          <w:rPr>
            <w:noProof/>
            <w:webHidden/>
          </w:rPr>
          <w:t>47</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10"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Residential</w:t>
        </w:r>
        <w:r w:rsidR="00FA5005">
          <w:rPr>
            <w:noProof/>
            <w:webHidden/>
          </w:rPr>
          <w:tab/>
        </w:r>
        <w:r>
          <w:rPr>
            <w:noProof/>
            <w:webHidden/>
          </w:rPr>
          <w:fldChar w:fldCharType="begin"/>
        </w:r>
        <w:r w:rsidR="00FA5005">
          <w:rPr>
            <w:noProof/>
            <w:webHidden/>
          </w:rPr>
          <w:instrText xml:space="preserve"> PAGEREF _Toc244499310 \h </w:instrText>
        </w:r>
        <w:r>
          <w:rPr>
            <w:noProof/>
            <w:webHidden/>
          </w:rPr>
        </w:r>
        <w:r>
          <w:rPr>
            <w:noProof/>
            <w:webHidden/>
          </w:rPr>
          <w:fldChar w:fldCharType="separate"/>
        </w:r>
        <w:r w:rsidR="00B22FF4">
          <w:rPr>
            <w:noProof/>
            <w:webHidden/>
          </w:rPr>
          <w:t>47</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11"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Incentives for Residential Furnace Fan Replacement in the Residential Whole Building Program</w:t>
        </w:r>
        <w:r w:rsidR="00FA5005">
          <w:rPr>
            <w:noProof/>
            <w:webHidden/>
          </w:rPr>
          <w:tab/>
        </w:r>
        <w:r>
          <w:rPr>
            <w:noProof/>
            <w:webHidden/>
          </w:rPr>
          <w:fldChar w:fldCharType="begin"/>
        </w:r>
        <w:r w:rsidR="00FA5005">
          <w:rPr>
            <w:noProof/>
            <w:webHidden/>
          </w:rPr>
          <w:instrText xml:space="preserve"> PAGEREF _Toc244499311 \h </w:instrText>
        </w:r>
        <w:r>
          <w:rPr>
            <w:noProof/>
            <w:webHidden/>
          </w:rPr>
        </w:r>
        <w:r>
          <w:rPr>
            <w:noProof/>
            <w:webHidden/>
          </w:rPr>
          <w:fldChar w:fldCharType="separate"/>
        </w:r>
        <w:r w:rsidR="00B22FF4">
          <w:rPr>
            <w:noProof/>
            <w:webHidden/>
          </w:rPr>
          <w:t>47</w:t>
        </w:r>
        <w:r>
          <w:rPr>
            <w:noProof/>
            <w:webHidden/>
          </w:rPr>
          <w:fldChar w:fldCharType="end"/>
        </w:r>
      </w:hyperlink>
    </w:p>
    <w:p w:rsidR="00FA5005" w:rsidRDefault="00E02171">
      <w:pPr>
        <w:pStyle w:val="TOC6"/>
        <w:rPr>
          <w:rFonts w:asciiTheme="minorHAnsi" w:hAnsiTheme="minorHAnsi" w:cstheme="minorBidi"/>
        </w:rPr>
      </w:pPr>
      <w:hyperlink w:anchor="_Toc244499312" w:history="1">
        <w:r w:rsidR="00FA5005" w:rsidRPr="00324A09">
          <w:rPr>
            <w:rStyle w:val="Hyperlink"/>
          </w:rPr>
          <w:t>(A)</w:t>
        </w:r>
        <w:r w:rsidR="00FA5005">
          <w:rPr>
            <w:rFonts w:asciiTheme="minorHAnsi" w:hAnsiTheme="minorHAnsi" w:cstheme="minorBidi"/>
          </w:rPr>
          <w:tab/>
        </w:r>
        <w:r w:rsidR="00FA5005" w:rsidRPr="00324A09">
          <w:rPr>
            <w:rStyle w:val="Hyperlink"/>
          </w:rPr>
          <w:t>Positions of the Parties</w:t>
        </w:r>
        <w:r w:rsidR="00FA5005">
          <w:rPr>
            <w:webHidden/>
          </w:rPr>
          <w:tab/>
        </w:r>
        <w:r>
          <w:rPr>
            <w:webHidden/>
          </w:rPr>
          <w:fldChar w:fldCharType="begin"/>
        </w:r>
        <w:r w:rsidR="00FA5005">
          <w:rPr>
            <w:webHidden/>
          </w:rPr>
          <w:instrText xml:space="preserve"> PAGEREF _Toc244499312 \h </w:instrText>
        </w:r>
        <w:r>
          <w:rPr>
            <w:webHidden/>
          </w:rPr>
        </w:r>
        <w:r>
          <w:rPr>
            <w:webHidden/>
          </w:rPr>
          <w:fldChar w:fldCharType="separate"/>
        </w:r>
        <w:r w:rsidR="00B22FF4">
          <w:rPr>
            <w:webHidden/>
          </w:rPr>
          <w:t>47</w:t>
        </w:r>
        <w:r>
          <w:rPr>
            <w:webHidden/>
          </w:rPr>
          <w:fldChar w:fldCharType="end"/>
        </w:r>
      </w:hyperlink>
    </w:p>
    <w:p w:rsidR="00FA5005" w:rsidRDefault="00E02171">
      <w:pPr>
        <w:pStyle w:val="TOC6"/>
        <w:rPr>
          <w:rFonts w:asciiTheme="minorHAnsi" w:hAnsiTheme="minorHAnsi" w:cstheme="minorBidi"/>
        </w:rPr>
      </w:pPr>
      <w:hyperlink w:anchor="_Toc244499313" w:history="1">
        <w:r w:rsidR="00FA5005" w:rsidRPr="00324A09">
          <w:rPr>
            <w:rStyle w:val="Hyperlink"/>
          </w:rPr>
          <w:t xml:space="preserve">(B)  </w:t>
        </w:r>
        <w:r w:rsidR="00FA5005">
          <w:rPr>
            <w:rFonts w:asciiTheme="minorHAnsi" w:hAnsiTheme="minorHAnsi" w:cstheme="minorBidi"/>
          </w:rPr>
          <w:tab/>
        </w:r>
        <w:r w:rsidR="00FA5005" w:rsidRPr="00324A09">
          <w:rPr>
            <w:rStyle w:val="Hyperlink"/>
          </w:rPr>
          <w:t>Disposition</w:t>
        </w:r>
        <w:r w:rsidR="00FA5005">
          <w:rPr>
            <w:webHidden/>
          </w:rPr>
          <w:tab/>
        </w:r>
        <w:r>
          <w:rPr>
            <w:webHidden/>
          </w:rPr>
          <w:fldChar w:fldCharType="begin"/>
        </w:r>
        <w:r w:rsidR="00FA5005">
          <w:rPr>
            <w:webHidden/>
          </w:rPr>
          <w:instrText xml:space="preserve"> PAGEREF _Toc244499313 \h </w:instrText>
        </w:r>
        <w:r>
          <w:rPr>
            <w:webHidden/>
          </w:rPr>
        </w:r>
        <w:r>
          <w:rPr>
            <w:webHidden/>
          </w:rPr>
          <w:fldChar w:fldCharType="separate"/>
        </w:r>
        <w:r w:rsidR="00B22FF4">
          <w:rPr>
            <w:webHidden/>
          </w:rPr>
          <w:t>48</w:t>
        </w:r>
        <w:r>
          <w:rPr>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14"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Statewide Whole Home Performance Program</w:t>
        </w:r>
        <w:r w:rsidR="00FA5005">
          <w:rPr>
            <w:noProof/>
            <w:webHidden/>
          </w:rPr>
          <w:tab/>
        </w:r>
        <w:r>
          <w:rPr>
            <w:noProof/>
            <w:webHidden/>
          </w:rPr>
          <w:fldChar w:fldCharType="begin"/>
        </w:r>
        <w:r w:rsidR="00FA5005">
          <w:rPr>
            <w:noProof/>
            <w:webHidden/>
          </w:rPr>
          <w:instrText xml:space="preserve"> PAGEREF _Toc244499314 \h </w:instrText>
        </w:r>
        <w:r>
          <w:rPr>
            <w:noProof/>
            <w:webHidden/>
          </w:rPr>
        </w:r>
        <w:r>
          <w:rPr>
            <w:noProof/>
            <w:webHidden/>
          </w:rPr>
          <w:fldChar w:fldCharType="separate"/>
        </w:r>
        <w:r w:rsidR="00B22FF4">
          <w:rPr>
            <w:noProof/>
            <w:webHidden/>
          </w:rPr>
          <w:t>48</w:t>
        </w:r>
        <w:r>
          <w:rPr>
            <w:noProof/>
            <w:webHidden/>
          </w:rPr>
          <w:fldChar w:fldCharType="end"/>
        </w:r>
      </w:hyperlink>
    </w:p>
    <w:p w:rsidR="00FA5005" w:rsidRDefault="00E02171">
      <w:pPr>
        <w:pStyle w:val="TOC6"/>
        <w:rPr>
          <w:rFonts w:asciiTheme="minorHAnsi" w:hAnsiTheme="minorHAnsi" w:cstheme="minorBidi"/>
        </w:rPr>
      </w:pPr>
      <w:hyperlink w:anchor="_Toc244499315" w:history="1">
        <w:r w:rsidR="00FA5005" w:rsidRPr="00324A09">
          <w:rPr>
            <w:rStyle w:val="Hyperlink"/>
          </w:rPr>
          <w:t>(A)</w:t>
        </w:r>
        <w:r w:rsidR="00FA5005">
          <w:rPr>
            <w:rFonts w:asciiTheme="minorHAnsi" w:hAnsiTheme="minorHAnsi" w:cstheme="minorBidi"/>
          </w:rPr>
          <w:tab/>
        </w:r>
        <w:r w:rsidR="00FA5005" w:rsidRPr="00324A09">
          <w:rPr>
            <w:rStyle w:val="Hyperlink"/>
          </w:rPr>
          <w:t>Positions of the Parties</w:t>
        </w:r>
        <w:r w:rsidR="00FA5005">
          <w:rPr>
            <w:webHidden/>
          </w:rPr>
          <w:tab/>
        </w:r>
        <w:r>
          <w:rPr>
            <w:webHidden/>
          </w:rPr>
          <w:fldChar w:fldCharType="begin"/>
        </w:r>
        <w:r w:rsidR="00FA5005">
          <w:rPr>
            <w:webHidden/>
          </w:rPr>
          <w:instrText xml:space="preserve"> PAGEREF _Toc244499315 \h </w:instrText>
        </w:r>
        <w:r>
          <w:rPr>
            <w:webHidden/>
          </w:rPr>
        </w:r>
        <w:r>
          <w:rPr>
            <w:webHidden/>
          </w:rPr>
          <w:fldChar w:fldCharType="separate"/>
        </w:r>
        <w:r w:rsidR="00B22FF4">
          <w:rPr>
            <w:webHidden/>
          </w:rPr>
          <w:t>48</w:t>
        </w:r>
        <w:r>
          <w:rPr>
            <w:webHidden/>
          </w:rPr>
          <w:fldChar w:fldCharType="end"/>
        </w:r>
      </w:hyperlink>
    </w:p>
    <w:p w:rsidR="00FA5005" w:rsidRDefault="00E02171">
      <w:pPr>
        <w:pStyle w:val="TOC6"/>
        <w:rPr>
          <w:rFonts w:asciiTheme="minorHAnsi" w:hAnsiTheme="minorHAnsi" w:cstheme="minorBidi"/>
        </w:rPr>
      </w:pPr>
      <w:hyperlink w:anchor="_Toc244499316" w:history="1">
        <w:r w:rsidR="00FA5005" w:rsidRPr="00324A09">
          <w:rPr>
            <w:rStyle w:val="Hyperlink"/>
          </w:rPr>
          <w:t>(B)</w:t>
        </w:r>
        <w:r w:rsidR="00FA5005">
          <w:rPr>
            <w:rFonts w:asciiTheme="minorHAnsi" w:hAnsiTheme="minorHAnsi" w:cstheme="minorBidi"/>
          </w:rPr>
          <w:tab/>
        </w:r>
        <w:r w:rsidR="00FA5005" w:rsidRPr="00324A09">
          <w:rPr>
            <w:rStyle w:val="Hyperlink"/>
          </w:rPr>
          <w:t>Disposition</w:t>
        </w:r>
        <w:r w:rsidR="00FA5005">
          <w:rPr>
            <w:webHidden/>
          </w:rPr>
          <w:tab/>
        </w:r>
        <w:r>
          <w:rPr>
            <w:webHidden/>
          </w:rPr>
          <w:fldChar w:fldCharType="begin"/>
        </w:r>
        <w:r w:rsidR="00FA5005">
          <w:rPr>
            <w:webHidden/>
          </w:rPr>
          <w:instrText xml:space="preserve"> PAGEREF _Toc244499316 \h </w:instrText>
        </w:r>
        <w:r>
          <w:rPr>
            <w:webHidden/>
          </w:rPr>
        </w:r>
        <w:r>
          <w:rPr>
            <w:webHidden/>
          </w:rPr>
          <w:fldChar w:fldCharType="separate"/>
        </w:r>
        <w:r w:rsidR="00B22FF4">
          <w:rPr>
            <w:webHidden/>
          </w:rPr>
          <w:t>49</w:t>
        </w:r>
        <w:r>
          <w:rPr>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17"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Commercial</w:t>
        </w:r>
        <w:r w:rsidR="00FA5005">
          <w:rPr>
            <w:noProof/>
            <w:webHidden/>
          </w:rPr>
          <w:tab/>
        </w:r>
        <w:r>
          <w:rPr>
            <w:noProof/>
            <w:webHidden/>
          </w:rPr>
          <w:fldChar w:fldCharType="begin"/>
        </w:r>
        <w:r w:rsidR="00FA5005">
          <w:rPr>
            <w:noProof/>
            <w:webHidden/>
          </w:rPr>
          <w:instrText xml:space="preserve"> PAGEREF _Toc244499317 \h </w:instrText>
        </w:r>
        <w:r>
          <w:rPr>
            <w:noProof/>
            <w:webHidden/>
          </w:rPr>
        </w:r>
        <w:r>
          <w:rPr>
            <w:noProof/>
            <w:webHidden/>
          </w:rPr>
          <w:fldChar w:fldCharType="separate"/>
        </w:r>
        <w:r w:rsidR="00B22FF4">
          <w:rPr>
            <w:noProof/>
            <w:webHidden/>
          </w:rPr>
          <w:t>50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18"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_Toc244499318 \h </w:instrText>
        </w:r>
        <w:r>
          <w:rPr>
            <w:noProof/>
            <w:webHidden/>
          </w:rPr>
        </w:r>
        <w:r>
          <w:rPr>
            <w:noProof/>
            <w:webHidden/>
          </w:rPr>
          <w:fldChar w:fldCharType="separate"/>
        </w:r>
        <w:r w:rsidR="00B22FF4">
          <w:rPr>
            <w:noProof/>
            <w:webHidden/>
          </w:rPr>
          <w:t>50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19"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_Toc244499319 \h </w:instrText>
        </w:r>
        <w:r>
          <w:rPr>
            <w:noProof/>
            <w:webHidden/>
          </w:rPr>
        </w:r>
        <w:r>
          <w:rPr>
            <w:noProof/>
            <w:webHidden/>
          </w:rPr>
          <w:fldChar w:fldCharType="separate"/>
        </w:r>
        <w:r w:rsidR="00B22FF4">
          <w:rPr>
            <w:noProof/>
            <w:webHidden/>
          </w:rPr>
          <w:t>51</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20" w:history="1">
        <w:r w:rsidR="00FA5005" w:rsidRPr="00324A09">
          <w:rPr>
            <w:rStyle w:val="Hyperlink"/>
            <w:noProof/>
          </w:rPr>
          <w:t xml:space="preserve">c.  </w:t>
        </w:r>
        <w:r w:rsidR="00FA5005">
          <w:rPr>
            <w:rFonts w:asciiTheme="minorHAnsi" w:eastAsiaTheme="minorEastAsia" w:hAnsiTheme="minorHAnsi" w:cstheme="minorBidi"/>
            <w:noProof/>
            <w:sz w:val="22"/>
            <w:szCs w:val="22"/>
          </w:rPr>
          <w:tab/>
        </w:r>
        <w:r w:rsidR="00FA5005" w:rsidRPr="00324A09">
          <w:rPr>
            <w:rStyle w:val="Hyperlink"/>
            <w:noProof/>
          </w:rPr>
          <w:t>Industrial</w:t>
        </w:r>
        <w:r w:rsidR="00FA5005">
          <w:rPr>
            <w:noProof/>
            <w:webHidden/>
          </w:rPr>
          <w:tab/>
        </w:r>
        <w:r>
          <w:rPr>
            <w:noProof/>
            <w:webHidden/>
          </w:rPr>
          <w:fldChar w:fldCharType="begin"/>
        </w:r>
        <w:r w:rsidR="00FA5005">
          <w:rPr>
            <w:noProof/>
            <w:webHidden/>
          </w:rPr>
          <w:instrText xml:space="preserve"> PAGEREF _Toc244499320 \h </w:instrText>
        </w:r>
        <w:r>
          <w:rPr>
            <w:noProof/>
            <w:webHidden/>
          </w:rPr>
        </w:r>
        <w:r>
          <w:rPr>
            <w:noProof/>
            <w:webHidden/>
          </w:rPr>
          <w:fldChar w:fldCharType="separate"/>
        </w:r>
        <w:r w:rsidR="00B22FF4">
          <w:rPr>
            <w:noProof/>
            <w:webHidden/>
          </w:rPr>
          <w:t>52</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21"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_Toc244499321 \h </w:instrText>
        </w:r>
        <w:r>
          <w:rPr>
            <w:noProof/>
            <w:webHidden/>
          </w:rPr>
        </w:r>
        <w:r>
          <w:rPr>
            <w:noProof/>
            <w:webHidden/>
          </w:rPr>
          <w:fldChar w:fldCharType="separate"/>
        </w:r>
        <w:r w:rsidR="00B22FF4">
          <w:rPr>
            <w:noProof/>
            <w:webHidden/>
          </w:rPr>
          <w:t>52</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22"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_Toc244499322 \h </w:instrText>
        </w:r>
        <w:r>
          <w:rPr>
            <w:noProof/>
            <w:webHidden/>
          </w:rPr>
        </w:r>
        <w:r>
          <w:rPr>
            <w:noProof/>
            <w:webHidden/>
          </w:rPr>
          <w:fldChar w:fldCharType="separate"/>
        </w:r>
        <w:r w:rsidR="00B22FF4">
          <w:rPr>
            <w:noProof/>
            <w:webHidden/>
          </w:rPr>
          <w:t>52</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23" w:history="1">
        <w:r w:rsidR="00FA5005" w:rsidRPr="00324A09">
          <w:rPr>
            <w:rStyle w:val="Hyperlink"/>
            <w:noProof/>
          </w:rPr>
          <w:t xml:space="preserve">d.  </w:t>
        </w:r>
        <w:r w:rsidR="00FA5005">
          <w:rPr>
            <w:rFonts w:asciiTheme="minorHAnsi" w:eastAsiaTheme="minorEastAsia" w:hAnsiTheme="minorHAnsi" w:cstheme="minorBidi"/>
            <w:noProof/>
            <w:sz w:val="22"/>
            <w:szCs w:val="22"/>
          </w:rPr>
          <w:tab/>
        </w:r>
        <w:r w:rsidR="00FA5005" w:rsidRPr="00324A09">
          <w:rPr>
            <w:rStyle w:val="Hyperlink"/>
            <w:noProof/>
          </w:rPr>
          <w:t>Generic Issues</w:t>
        </w:r>
        <w:r w:rsidR="00FA5005">
          <w:rPr>
            <w:noProof/>
            <w:webHidden/>
          </w:rPr>
          <w:tab/>
        </w:r>
        <w:r>
          <w:rPr>
            <w:noProof/>
            <w:webHidden/>
          </w:rPr>
          <w:fldChar w:fldCharType="begin"/>
        </w:r>
        <w:r w:rsidR="00FA5005">
          <w:rPr>
            <w:noProof/>
            <w:webHidden/>
          </w:rPr>
          <w:instrText xml:space="preserve"> PAGEREF _Toc244499323 \h </w:instrText>
        </w:r>
        <w:r>
          <w:rPr>
            <w:noProof/>
            <w:webHidden/>
          </w:rPr>
        </w:r>
        <w:r>
          <w:rPr>
            <w:noProof/>
            <w:webHidden/>
          </w:rPr>
          <w:fldChar w:fldCharType="separate"/>
        </w:r>
        <w:r w:rsidR="00B22FF4">
          <w:rPr>
            <w:noProof/>
            <w:webHidden/>
          </w:rPr>
          <w:t>53</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24"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Continuing Stakeholder Process</w:t>
        </w:r>
        <w:r w:rsidR="00FA5005">
          <w:rPr>
            <w:noProof/>
            <w:webHidden/>
          </w:rPr>
          <w:tab/>
        </w:r>
        <w:r>
          <w:rPr>
            <w:noProof/>
            <w:webHidden/>
          </w:rPr>
          <w:fldChar w:fldCharType="begin"/>
        </w:r>
        <w:r w:rsidR="00FA5005">
          <w:rPr>
            <w:noProof/>
            <w:webHidden/>
          </w:rPr>
          <w:instrText xml:space="preserve"> PAGEREF _Toc244499324 \h </w:instrText>
        </w:r>
        <w:r>
          <w:rPr>
            <w:noProof/>
            <w:webHidden/>
          </w:rPr>
        </w:r>
        <w:r>
          <w:rPr>
            <w:noProof/>
            <w:webHidden/>
          </w:rPr>
          <w:fldChar w:fldCharType="separate"/>
        </w:r>
        <w:r w:rsidR="00B22FF4">
          <w:rPr>
            <w:noProof/>
            <w:webHidden/>
          </w:rPr>
          <w:t>53</w:t>
        </w:r>
        <w:r>
          <w:rPr>
            <w:noProof/>
            <w:webHidden/>
          </w:rPr>
          <w:fldChar w:fldCharType="end"/>
        </w:r>
      </w:hyperlink>
    </w:p>
    <w:p w:rsidR="00FA5005" w:rsidRDefault="00E02171">
      <w:pPr>
        <w:pStyle w:val="TOC6"/>
        <w:rPr>
          <w:rFonts w:asciiTheme="minorHAnsi" w:hAnsiTheme="minorHAnsi" w:cstheme="minorBidi"/>
        </w:rPr>
      </w:pPr>
      <w:hyperlink w:anchor="_Toc244499325" w:history="1">
        <w:r w:rsidR="00FA5005" w:rsidRPr="00324A09">
          <w:rPr>
            <w:rStyle w:val="Hyperlink"/>
          </w:rPr>
          <w:t>(A)</w:t>
        </w:r>
        <w:r w:rsidR="00FA5005">
          <w:rPr>
            <w:rFonts w:asciiTheme="minorHAnsi" w:hAnsiTheme="minorHAnsi" w:cstheme="minorBidi"/>
          </w:rPr>
          <w:tab/>
        </w:r>
        <w:r w:rsidR="00FA5005" w:rsidRPr="00324A09">
          <w:rPr>
            <w:rStyle w:val="Hyperlink"/>
          </w:rPr>
          <w:t>Positions of the Parties</w:t>
        </w:r>
        <w:r w:rsidR="00FA5005">
          <w:rPr>
            <w:webHidden/>
          </w:rPr>
          <w:tab/>
        </w:r>
        <w:r>
          <w:rPr>
            <w:webHidden/>
          </w:rPr>
          <w:fldChar w:fldCharType="begin"/>
        </w:r>
        <w:r w:rsidR="00FA5005">
          <w:rPr>
            <w:webHidden/>
          </w:rPr>
          <w:instrText xml:space="preserve"> PAGEREF _Toc244499325 \h </w:instrText>
        </w:r>
        <w:r>
          <w:rPr>
            <w:webHidden/>
          </w:rPr>
        </w:r>
        <w:r>
          <w:rPr>
            <w:webHidden/>
          </w:rPr>
          <w:fldChar w:fldCharType="separate"/>
        </w:r>
        <w:r w:rsidR="00B22FF4">
          <w:rPr>
            <w:webHidden/>
          </w:rPr>
          <w:t>53</w:t>
        </w:r>
        <w:r>
          <w:rPr>
            <w:webHidden/>
          </w:rPr>
          <w:fldChar w:fldCharType="end"/>
        </w:r>
      </w:hyperlink>
    </w:p>
    <w:p w:rsidR="00FA5005" w:rsidRDefault="00E02171">
      <w:pPr>
        <w:pStyle w:val="TOC6"/>
        <w:rPr>
          <w:rFonts w:asciiTheme="minorHAnsi" w:hAnsiTheme="minorHAnsi" w:cstheme="minorBidi"/>
        </w:rPr>
      </w:pPr>
      <w:hyperlink w:anchor="_Toc244499326" w:history="1">
        <w:r w:rsidR="00FA5005" w:rsidRPr="00324A09">
          <w:rPr>
            <w:rStyle w:val="Hyperlink"/>
          </w:rPr>
          <w:t xml:space="preserve">(B)  </w:t>
        </w:r>
        <w:r w:rsidR="00FA5005">
          <w:rPr>
            <w:rFonts w:asciiTheme="minorHAnsi" w:hAnsiTheme="minorHAnsi" w:cstheme="minorBidi"/>
          </w:rPr>
          <w:tab/>
        </w:r>
        <w:r w:rsidR="00FA5005" w:rsidRPr="00324A09">
          <w:rPr>
            <w:rStyle w:val="Hyperlink"/>
          </w:rPr>
          <w:t>Disposition</w:t>
        </w:r>
        <w:r w:rsidR="00FA5005">
          <w:rPr>
            <w:webHidden/>
          </w:rPr>
          <w:tab/>
        </w:r>
        <w:r>
          <w:rPr>
            <w:webHidden/>
          </w:rPr>
          <w:fldChar w:fldCharType="begin"/>
        </w:r>
        <w:r w:rsidR="00FA5005">
          <w:rPr>
            <w:webHidden/>
          </w:rPr>
          <w:instrText xml:space="preserve"> PAGEREF _Toc244499326 \h </w:instrText>
        </w:r>
        <w:r>
          <w:rPr>
            <w:webHidden/>
          </w:rPr>
        </w:r>
        <w:r>
          <w:rPr>
            <w:webHidden/>
          </w:rPr>
          <w:fldChar w:fldCharType="separate"/>
        </w:r>
        <w:r w:rsidR="00B22FF4">
          <w:rPr>
            <w:webHidden/>
          </w:rPr>
          <w:t>54</w:t>
        </w:r>
        <w:r>
          <w:rPr>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27"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Hiring the Unemployed and Reducing the Use of Space Heaters</w:t>
        </w:r>
        <w:r w:rsidR="00FA5005">
          <w:rPr>
            <w:noProof/>
            <w:webHidden/>
          </w:rPr>
          <w:tab/>
        </w:r>
        <w:r>
          <w:rPr>
            <w:noProof/>
            <w:webHidden/>
          </w:rPr>
          <w:fldChar w:fldCharType="begin"/>
        </w:r>
        <w:r w:rsidR="00FA5005">
          <w:rPr>
            <w:noProof/>
            <w:webHidden/>
          </w:rPr>
          <w:instrText xml:space="preserve"> PAGEREF _Toc244499327 \h </w:instrText>
        </w:r>
        <w:r>
          <w:rPr>
            <w:noProof/>
            <w:webHidden/>
          </w:rPr>
        </w:r>
        <w:r>
          <w:rPr>
            <w:noProof/>
            <w:webHidden/>
          </w:rPr>
          <w:fldChar w:fldCharType="separate"/>
        </w:r>
        <w:r w:rsidR="00B22FF4">
          <w:rPr>
            <w:noProof/>
            <w:webHidden/>
          </w:rPr>
          <w:t>56</w:t>
        </w:r>
        <w:r>
          <w:rPr>
            <w:noProof/>
            <w:webHidden/>
          </w:rPr>
          <w:fldChar w:fldCharType="end"/>
        </w:r>
      </w:hyperlink>
    </w:p>
    <w:p w:rsidR="00FA5005" w:rsidRDefault="00E02171">
      <w:pPr>
        <w:pStyle w:val="TOC6"/>
        <w:rPr>
          <w:rFonts w:asciiTheme="minorHAnsi" w:hAnsiTheme="minorHAnsi" w:cstheme="minorBidi"/>
        </w:rPr>
      </w:pPr>
      <w:hyperlink w:anchor="_Toc244499328" w:history="1">
        <w:r w:rsidR="00FA5005" w:rsidRPr="00324A09">
          <w:rPr>
            <w:rStyle w:val="Hyperlink"/>
          </w:rPr>
          <w:t xml:space="preserve">(A)  </w:t>
        </w:r>
        <w:r w:rsidR="00FA5005">
          <w:rPr>
            <w:rFonts w:asciiTheme="minorHAnsi" w:hAnsiTheme="minorHAnsi" w:cstheme="minorBidi"/>
          </w:rPr>
          <w:tab/>
        </w:r>
        <w:r w:rsidR="00FA5005" w:rsidRPr="00324A09">
          <w:rPr>
            <w:rStyle w:val="Hyperlink"/>
          </w:rPr>
          <w:t>Positions of the Parties</w:t>
        </w:r>
        <w:r w:rsidR="00FA5005">
          <w:rPr>
            <w:webHidden/>
          </w:rPr>
          <w:tab/>
        </w:r>
        <w:r>
          <w:rPr>
            <w:webHidden/>
          </w:rPr>
          <w:fldChar w:fldCharType="begin"/>
        </w:r>
        <w:r w:rsidR="00FA5005">
          <w:rPr>
            <w:webHidden/>
          </w:rPr>
          <w:instrText xml:space="preserve"> PAGEREF _Toc244499328 \h </w:instrText>
        </w:r>
        <w:r>
          <w:rPr>
            <w:webHidden/>
          </w:rPr>
        </w:r>
        <w:r>
          <w:rPr>
            <w:webHidden/>
          </w:rPr>
          <w:fldChar w:fldCharType="separate"/>
        </w:r>
        <w:r w:rsidR="00B22FF4">
          <w:rPr>
            <w:webHidden/>
          </w:rPr>
          <w:t>56</w:t>
        </w:r>
        <w:r>
          <w:rPr>
            <w:webHidden/>
          </w:rPr>
          <w:fldChar w:fldCharType="end"/>
        </w:r>
      </w:hyperlink>
    </w:p>
    <w:p w:rsidR="00FA5005" w:rsidRDefault="00E02171">
      <w:pPr>
        <w:pStyle w:val="TOC6"/>
        <w:rPr>
          <w:rFonts w:asciiTheme="minorHAnsi" w:hAnsiTheme="minorHAnsi" w:cstheme="minorBidi"/>
        </w:rPr>
      </w:pPr>
      <w:hyperlink w:anchor="_Toc244499329" w:history="1">
        <w:r w:rsidR="00FA5005" w:rsidRPr="00324A09">
          <w:rPr>
            <w:rStyle w:val="Hyperlink"/>
          </w:rPr>
          <w:t xml:space="preserve">(B)  </w:t>
        </w:r>
        <w:r w:rsidR="00FA5005">
          <w:rPr>
            <w:rFonts w:asciiTheme="minorHAnsi" w:hAnsiTheme="minorHAnsi" w:cstheme="minorBidi"/>
          </w:rPr>
          <w:tab/>
        </w:r>
        <w:r w:rsidR="00FA5005" w:rsidRPr="00324A09">
          <w:rPr>
            <w:rStyle w:val="Hyperlink"/>
          </w:rPr>
          <w:t>Disposition</w:t>
        </w:r>
        <w:r w:rsidR="00FA5005">
          <w:rPr>
            <w:webHidden/>
          </w:rPr>
          <w:tab/>
        </w:r>
        <w:r>
          <w:rPr>
            <w:webHidden/>
          </w:rPr>
          <w:fldChar w:fldCharType="begin"/>
        </w:r>
        <w:r w:rsidR="00FA5005">
          <w:rPr>
            <w:webHidden/>
          </w:rPr>
          <w:instrText xml:space="preserve"> PAGEREF _Toc244499329 \h </w:instrText>
        </w:r>
        <w:r>
          <w:rPr>
            <w:webHidden/>
          </w:rPr>
        </w:r>
        <w:r>
          <w:rPr>
            <w:webHidden/>
          </w:rPr>
          <w:fldChar w:fldCharType="separate"/>
        </w:r>
        <w:r w:rsidR="00B22FF4">
          <w:rPr>
            <w:webHidden/>
          </w:rPr>
          <w:t>58</w:t>
        </w:r>
        <w:r>
          <w:rPr>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30" w:history="1">
        <w:r w:rsidR="00FA5005" w:rsidRPr="00324A09">
          <w:rPr>
            <w:rStyle w:val="Hyperlink"/>
            <w:noProof/>
          </w:rPr>
          <w:t xml:space="preserve">(3)  </w:t>
        </w:r>
        <w:r w:rsidR="00FA5005">
          <w:rPr>
            <w:rFonts w:asciiTheme="minorHAnsi" w:eastAsiaTheme="minorEastAsia" w:hAnsiTheme="minorHAnsi" w:cstheme="minorBidi"/>
            <w:noProof/>
            <w:sz w:val="22"/>
            <w:szCs w:val="22"/>
          </w:rPr>
          <w:tab/>
        </w:r>
        <w:r w:rsidR="00FA5005" w:rsidRPr="00324A09">
          <w:rPr>
            <w:rStyle w:val="Hyperlink"/>
            <w:noProof/>
          </w:rPr>
          <w:t>Expediting the Deployment of Smart Meters and Time of Use Rates</w:t>
        </w:r>
        <w:r w:rsidR="00FA5005">
          <w:rPr>
            <w:noProof/>
            <w:webHidden/>
          </w:rPr>
          <w:tab/>
        </w:r>
        <w:r>
          <w:rPr>
            <w:noProof/>
            <w:webHidden/>
          </w:rPr>
          <w:fldChar w:fldCharType="begin"/>
        </w:r>
        <w:r w:rsidR="00FA5005">
          <w:rPr>
            <w:noProof/>
            <w:webHidden/>
          </w:rPr>
          <w:instrText xml:space="preserve"> PAGEREF _Toc244499330 \h </w:instrText>
        </w:r>
        <w:r>
          <w:rPr>
            <w:noProof/>
            <w:webHidden/>
          </w:rPr>
        </w:r>
        <w:r>
          <w:rPr>
            <w:noProof/>
            <w:webHidden/>
          </w:rPr>
          <w:fldChar w:fldCharType="separate"/>
        </w:r>
        <w:r w:rsidR="00B22FF4">
          <w:rPr>
            <w:noProof/>
            <w:webHidden/>
          </w:rPr>
          <w:t>59</w:t>
        </w:r>
        <w:r>
          <w:rPr>
            <w:noProof/>
            <w:webHidden/>
          </w:rPr>
          <w:fldChar w:fldCharType="end"/>
        </w:r>
      </w:hyperlink>
    </w:p>
    <w:p w:rsidR="00FA5005" w:rsidRDefault="00E02171">
      <w:pPr>
        <w:pStyle w:val="TOC6"/>
        <w:rPr>
          <w:rFonts w:asciiTheme="minorHAnsi" w:hAnsiTheme="minorHAnsi" w:cstheme="minorBidi"/>
        </w:rPr>
      </w:pPr>
      <w:hyperlink w:anchor="_Toc244499331" w:history="1">
        <w:r w:rsidR="00FA5005" w:rsidRPr="00324A09">
          <w:rPr>
            <w:rStyle w:val="Hyperlink"/>
          </w:rPr>
          <w:t xml:space="preserve">(A)  </w:t>
        </w:r>
        <w:r w:rsidR="00FA5005">
          <w:rPr>
            <w:rFonts w:asciiTheme="minorHAnsi" w:hAnsiTheme="minorHAnsi" w:cstheme="minorBidi"/>
          </w:rPr>
          <w:tab/>
        </w:r>
        <w:r w:rsidR="00FA5005" w:rsidRPr="00324A09">
          <w:rPr>
            <w:rStyle w:val="Hyperlink"/>
          </w:rPr>
          <w:t>Positions of the Parties</w:t>
        </w:r>
        <w:r w:rsidR="00FA5005">
          <w:rPr>
            <w:webHidden/>
          </w:rPr>
          <w:tab/>
        </w:r>
        <w:r>
          <w:rPr>
            <w:webHidden/>
          </w:rPr>
          <w:fldChar w:fldCharType="begin"/>
        </w:r>
        <w:r w:rsidR="00FA5005">
          <w:rPr>
            <w:webHidden/>
          </w:rPr>
          <w:instrText xml:space="preserve"> PAGEREF _Toc244499331 \h </w:instrText>
        </w:r>
        <w:r>
          <w:rPr>
            <w:webHidden/>
          </w:rPr>
        </w:r>
        <w:r>
          <w:rPr>
            <w:webHidden/>
          </w:rPr>
          <w:fldChar w:fldCharType="separate"/>
        </w:r>
        <w:r w:rsidR="00B22FF4">
          <w:rPr>
            <w:webHidden/>
          </w:rPr>
          <w:t>59</w:t>
        </w:r>
        <w:r>
          <w:rPr>
            <w:webHidden/>
          </w:rPr>
          <w:fldChar w:fldCharType="end"/>
        </w:r>
      </w:hyperlink>
    </w:p>
    <w:p w:rsidR="00FA5005" w:rsidRDefault="00E02171">
      <w:pPr>
        <w:pStyle w:val="TOC6"/>
        <w:rPr>
          <w:rFonts w:asciiTheme="minorHAnsi" w:hAnsiTheme="minorHAnsi" w:cstheme="minorBidi"/>
        </w:rPr>
      </w:pPr>
      <w:hyperlink w:anchor="_Toc244499332" w:history="1">
        <w:r w:rsidR="00FA5005" w:rsidRPr="00324A09">
          <w:rPr>
            <w:rStyle w:val="Hyperlink"/>
          </w:rPr>
          <w:t xml:space="preserve">(B) </w:t>
        </w:r>
        <w:r w:rsidR="00FA5005">
          <w:rPr>
            <w:rFonts w:asciiTheme="minorHAnsi" w:hAnsiTheme="minorHAnsi" w:cstheme="minorBidi"/>
          </w:rPr>
          <w:tab/>
        </w:r>
        <w:r w:rsidR="00FA5005" w:rsidRPr="00324A09">
          <w:rPr>
            <w:rStyle w:val="Hyperlink"/>
          </w:rPr>
          <w:t>Disposition</w:t>
        </w:r>
        <w:r w:rsidR="00FA5005">
          <w:rPr>
            <w:webHidden/>
          </w:rPr>
          <w:tab/>
        </w:r>
        <w:r>
          <w:rPr>
            <w:webHidden/>
          </w:rPr>
          <w:fldChar w:fldCharType="begin"/>
        </w:r>
        <w:r w:rsidR="00FA5005">
          <w:rPr>
            <w:webHidden/>
          </w:rPr>
          <w:instrText xml:space="preserve"> PAGEREF _Toc244499332 \h </w:instrText>
        </w:r>
        <w:r>
          <w:rPr>
            <w:webHidden/>
          </w:rPr>
        </w:r>
        <w:r>
          <w:rPr>
            <w:webHidden/>
          </w:rPr>
          <w:fldChar w:fldCharType="separate"/>
        </w:r>
        <w:r w:rsidR="00B22FF4">
          <w:rPr>
            <w:webHidden/>
          </w:rPr>
          <w:t>59</w:t>
        </w:r>
        <w:r>
          <w:rPr>
            <w:webHidden/>
          </w:rPr>
          <w:fldChar w:fldCharType="end"/>
        </w:r>
      </w:hyperlink>
    </w:p>
    <w:p w:rsidR="00FA5005" w:rsidRDefault="00E02171">
      <w:pPr>
        <w:pStyle w:val="TOC2"/>
        <w:rPr>
          <w:rFonts w:asciiTheme="minorHAnsi" w:eastAsiaTheme="minorEastAsia" w:hAnsiTheme="minorHAnsi" w:cstheme="minorBidi"/>
          <w:noProof/>
          <w:sz w:val="22"/>
          <w:szCs w:val="22"/>
        </w:rPr>
      </w:pPr>
      <w:hyperlink w:anchor="_Toc244499333"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Cost Issues</w:t>
        </w:r>
        <w:r w:rsidR="00FA5005">
          <w:rPr>
            <w:noProof/>
            <w:webHidden/>
          </w:rPr>
          <w:tab/>
        </w:r>
        <w:r>
          <w:rPr>
            <w:noProof/>
            <w:webHidden/>
          </w:rPr>
          <w:fldChar w:fldCharType="begin"/>
        </w:r>
        <w:r w:rsidR="00FA5005">
          <w:rPr>
            <w:noProof/>
            <w:webHidden/>
          </w:rPr>
          <w:instrText xml:space="preserve"> PAGEREF _Toc244499333 \h </w:instrText>
        </w:r>
        <w:r>
          <w:rPr>
            <w:noProof/>
            <w:webHidden/>
          </w:rPr>
        </w:r>
        <w:r>
          <w:rPr>
            <w:noProof/>
            <w:webHidden/>
          </w:rPr>
          <w:fldChar w:fldCharType="separate"/>
        </w:r>
        <w:r w:rsidR="00B22FF4">
          <w:rPr>
            <w:noProof/>
            <w:webHidden/>
          </w:rPr>
          <w:t>60</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334"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Plan Cost Issues</w:t>
        </w:r>
        <w:r w:rsidR="00FA5005">
          <w:rPr>
            <w:noProof/>
            <w:webHidden/>
          </w:rPr>
          <w:tab/>
        </w:r>
        <w:r>
          <w:rPr>
            <w:noProof/>
            <w:webHidden/>
          </w:rPr>
          <w:fldChar w:fldCharType="begin"/>
        </w:r>
        <w:r w:rsidR="00FA5005">
          <w:rPr>
            <w:noProof/>
            <w:webHidden/>
          </w:rPr>
          <w:instrText xml:space="preserve"> PAGEREF _Toc244499334 \h </w:instrText>
        </w:r>
        <w:r>
          <w:rPr>
            <w:noProof/>
            <w:webHidden/>
          </w:rPr>
        </w:r>
        <w:r>
          <w:rPr>
            <w:noProof/>
            <w:webHidden/>
          </w:rPr>
          <w:fldChar w:fldCharType="separate"/>
        </w:r>
        <w:r w:rsidR="00B22FF4">
          <w:rPr>
            <w:noProof/>
            <w:webHidden/>
          </w:rPr>
          <w:t>60</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35"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The Two Percent Cost Cap</w:t>
        </w:r>
        <w:r w:rsidR="00FA5005">
          <w:rPr>
            <w:noProof/>
            <w:webHidden/>
          </w:rPr>
          <w:tab/>
        </w:r>
        <w:r>
          <w:rPr>
            <w:noProof/>
            <w:webHidden/>
          </w:rPr>
          <w:fldChar w:fldCharType="begin"/>
        </w:r>
        <w:r w:rsidR="00FA5005">
          <w:rPr>
            <w:noProof/>
            <w:webHidden/>
          </w:rPr>
          <w:instrText xml:space="preserve"> PAGEREF _Toc244499335 \h </w:instrText>
        </w:r>
        <w:r>
          <w:rPr>
            <w:noProof/>
            <w:webHidden/>
          </w:rPr>
        </w:r>
        <w:r>
          <w:rPr>
            <w:noProof/>
            <w:webHidden/>
          </w:rPr>
          <w:fldChar w:fldCharType="separate"/>
        </w:r>
        <w:r w:rsidR="00B22FF4">
          <w:rPr>
            <w:noProof/>
            <w:webHidden/>
          </w:rPr>
          <w:t>60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36"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_Toc244499336 \h </w:instrText>
        </w:r>
        <w:r>
          <w:rPr>
            <w:noProof/>
            <w:webHidden/>
          </w:rPr>
        </w:r>
        <w:r>
          <w:rPr>
            <w:noProof/>
            <w:webHidden/>
          </w:rPr>
          <w:fldChar w:fldCharType="separate"/>
        </w:r>
        <w:r w:rsidR="00B22FF4">
          <w:rPr>
            <w:noProof/>
            <w:webHidden/>
          </w:rPr>
          <w:t>60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37"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_Toc244499337 \h </w:instrText>
        </w:r>
        <w:r>
          <w:rPr>
            <w:noProof/>
            <w:webHidden/>
          </w:rPr>
        </w:r>
        <w:r>
          <w:rPr>
            <w:noProof/>
            <w:webHidden/>
          </w:rPr>
          <w:fldChar w:fldCharType="separate"/>
        </w:r>
        <w:r w:rsidR="00B22FF4">
          <w:rPr>
            <w:noProof/>
            <w:webHidden/>
          </w:rPr>
          <w:t>63</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38" w:history="1">
        <w:r w:rsidR="00FA5005" w:rsidRPr="00324A09">
          <w:rPr>
            <w:rStyle w:val="Hyperlink"/>
            <w:noProof/>
          </w:rPr>
          <w:t>b.</w:t>
        </w:r>
        <w:r w:rsidR="00FA5005">
          <w:rPr>
            <w:rFonts w:asciiTheme="minorHAnsi" w:eastAsiaTheme="minorEastAsia" w:hAnsiTheme="minorHAnsi" w:cstheme="minorBidi"/>
            <w:noProof/>
            <w:sz w:val="22"/>
            <w:szCs w:val="22"/>
          </w:rPr>
          <w:tab/>
        </w:r>
        <w:r w:rsidR="00FA5005" w:rsidRPr="00324A09">
          <w:rPr>
            <w:rStyle w:val="Hyperlink"/>
            <w:noProof/>
          </w:rPr>
          <w:t>The Cost of the Statewide Evaluator</w:t>
        </w:r>
        <w:r w:rsidR="00FA5005">
          <w:rPr>
            <w:noProof/>
            <w:webHidden/>
          </w:rPr>
          <w:tab/>
        </w:r>
        <w:r>
          <w:rPr>
            <w:noProof/>
            <w:webHidden/>
          </w:rPr>
          <w:fldChar w:fldCharType="begin"/>
        </w:r>
        <w:r w:rsidR="00FA5005">
          <w:rPr>
            <w:noProof/>
            <w:webHidden/>
          </w:rPr>
          <w:instrText xml:space="preserve"> PAGEREF _Toc244499338 \h </w:instrText>
        </w:r>
        <w:r>
          <w:rPr>
            <w:noProof/>
            <w:webHidden/>
          </w:rPr>
        </w:r>
        <w:r>
          <w:rPr>
            <w:noProof/>
            <w:webHidden/>
          </w:rPr>
          <w:fldChar w:fldCharType="separate"/>
        </w:r>
        <w:r w:rsidR="00B22FF4">
          <w:rPr>
            <w:noProof/>
            <w:webHidden/>
          </w:rPr>
          <w:t>64</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39"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_Toc244499339 \h </w:instrText>
        </w:r>
        <w:r>
          <w:rPr>
            <w:noProof/>
            <w:webHidden/>
          </w:rPr>
        </w:r>
        <w:r>
          <w:rPr>
            <w:noProof/>
            <w:webHidden/>
          </w:rPr>
          <w:fldChar w:fldCharType="separate"/>
        </w:r>
        <w:r w:rsidR="00B22FF4">
          <w:rPr>
            <w:noProof/>
            <w:webHidden/>
          </w:rPr>
          <w:t>64</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40"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_Toc244499340 \h </w:instrText>
        </w:r>
        <w:r>
          <w:rPr>
            <w:noProof/>
            <w:webHidden/>
          </w:rPr>
        </w:r>
        <w:r>
          <w:rPr>
            <w:noProof/>
            <w:webHidden/>
          </w:rPr>
          <w:fldChar w:fldCharType="separate"/>
        </w:r>
        <w:r w:rsidR="00B22FF4">
          <w:rPr>
            <w:noProof/>
            <w:webHidden/>
          </w:rPr>
          <w:t>67</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41" w:history="1">
        <w:r w:rsidR="00FA5005" w:rsidRPr="00324A09">
          <w:rPr>
            <w:rStyle w:val="Hyperlink"/>
            <w:noProof/>
          </w:rPr>
          <w:t>c.</w:t>
        </w:r>
        <w:r w:rsidR="00FA5005">
          <w:rPr>
            <w:rFonts w:asciiTheme="minorHAnsi" w:eastAsiaTheme="minorEastAsia" w:hAnsiTheme="minorHAnsi" w:cstheme="minorBidi"/>
            <w:noProof/>
            <w:sz w:val="22"/>
            <w:szCs w:val="22"/>
          </w:rPr>
          <w:tab/>
        </w:r>
        <w:r w:rsidR="00FA5005" w:rsidRPr="00324A09">
          <w:rPr>
            <w:rStyle w:val="Hyperlink"/>
            <w:noProof/>
          </w:rPr>
          <w:t>Consumer Education Outreach Costs</w:t>
        </w:r>
        <w:r w:rsidR="00FA5005">
          <w:rPr>
            <w:noProof/>
            <w:webHidden/>
          </w:rPr>
          <w:tab/>
        </w:r>
        <w:r>
          <w:rPr>
            <w:noProof/>
            <w:webHidden/>
          </w:rPr>
          <w:fldChar w:fldCharType="begin"/>
        </w:r>
        <w:r w:rsidR="00FA5005">
          <w:rPr>
            <w:noProof/>
            <w:webHidden/>
          </w:rPr>
          <w:instrText xml:space="preserve"> PAGEREF _Toc244499341 \h </w:instrText>
        </w:r>
        <w:r>
          <w:rPr>
            <w:noProof/>
            <w:webHidden/>
          </w:rPr>
        </w:r>
        <w:r>
          <w:rPr>
            <w:noProof/>
            <w:webHidden/>
          </w:rPr>
          <w:fldChar w:fldCharType="separate"/>
        </w:r>
        <w:r w:rsidR="00B22FF4">
          <w:rPr>
            <w:noProof/>
            <w:webHidden/>
          </w:rPr>
          <w:t>69</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42"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_Toc244499342 \h </w:instrText>
        </w:r>
        <w:r>
          <w:rPr>
            <w:noProof/>
            <w:webHidden/>
          </w:rPr>
        </w:r>
        <w:r>
          <w:rPr>
            <w:noProof/>
            <w:webHidden/>
          </w:rPr>
          <w:fldChar w:fldCharType="separate"/>
        </w:r>
        <w:r w:rsidR="00B22FF4">
          <w:rPr>
            <w:noProof/>
            <w:webHidden/>
          </w:rPr>
          <w:t>69</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43"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_Toc244499343 \h </w:instrText>
        </w:r>
        <w:r>
          <w:rPr>
            <w:noProof/>
            <w:webHidden/>
          </w:rPr>
        </w:r>
        <w:r>
          <w:rPr>
            <w:noProof/>
            <w:webHidden/>
          </w:rPr>
          <w:fldChar w:fldCharType="separate"/>
        </w:r>
        <w:r w:rsidR="00B22FF4">
          <w:rPr>
            <w:noProof/>
            <w:webHidden/>
          </w:rPr>
          <w:t>70</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44" w:history="1">
        <w:r w:rsidR="00FA5005" w:rsidRPr="00324A09">
          <w:rPr>
            <w:rStyle w:val="Hyperlink"/>
            <w:noProof/>
          </w:rPr>
          <w:t>d.</w:t>
        </w:r>
        <w:r w:rsidR="00FA5005">
          <w:rPr>
            <w:rFonts w:asciiTheme="minorHAnsi" w:eastAsiaTheme="minorEastAsia" w:hAnsiTheme="minorHAnsi" w:cstheme="minorBidi"/>
            <w:noProof/>
            <w:sz w:val="22"/>
            <w:szCs w:val="22"/>
          </w:rPr>
          <w:tab/>
        </w:r>
        <w:r w:rsidR="00FA5005" w:rsidRPr="00324A09">
          <w:rPr>
            <w:rStyle w:val="Hyperlink"/>
            <w:noProof/>
          </w:rPr>
          <w:t>Compliance with the Two Percent Cap</w:t>
        </w:r>
        <w:r w:rsidR="00FA5005">
          <w:rPr>
            <w:noProof/>
            <w:webHidden/>
          </w:rPr>
          <w:tab/>
        </w:r>
        <w:r>
          <w:rPr>
            <w:noProof/>
            <w:webHidden/>
          </w:rPr>
          <w:fldChar w:fldCharType="begin"/>
        </w:r>
        <w:r w:rsidR="00FA5005">
          <w:rPr>
            <w:noProof/>
            <w:webHidden/>
          </w:rPr>
          <w:instrText xml:space="preserve"> PAGEREF _Toc244499344 \h </w:instrText>
        </w:r>
        <w:r>
          <w:rPr>
            <w:noProof/>
            <w:webHidden/>
          </w:rPr>
        </w:r>
        <w:r>
          <w:rPr>
            <w:noProof/>
            <w:webHidden/>
          </w:rPr>
          <w:fldChar w:fldCharType="separate"/>
        </w:r>
        <w:r w:rsidR="00B22FF4">
          <w:rPr>
            <w:noProof/>
            <w:webHidden/>
          </w:rPr>
          <w:t>70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45"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_Toc244499345 \h </w:instrText>
        </w:r>
        <w:r>
          <w:rPr>
            <w:noProof/>
            <w:webHidden/>
          </w:rPr>
        </w:r>
        <w:r>
          <w:rPr>
            <w:noProof/>
            <w:webHidden/>
          </w:rPr>
          <w:fldChar w:fldCharType="separate"/>
        </w:r>
        <w:r w:rsidR="00B22FF4">
          <w:rPr>
            <w:noProof/>
            <w:webHidden/>
          </w:rPr>
          <w:t>70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46"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_Toc244499346 \h </w:instrText>
        </w:r>
        <w:r>
          <w:rPr>
            <w:noProof/>
            <w:webHidden/>
          </w:rPr>
        </w:r>
        <w:r>
          <w:rPr>
            <w:noProof/>
            <w:webHidden/>
          </w:rPr>
          <w:fldChar w:fldCharType="separate"/>
        </w:r>
        <w:r w:rsidR="00B22FF4">
          <w:rPr>
            <w:noProof/>
            <w:webHidden/>
          </w:rPr>
          <w:t>72</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347"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Cost Effectiveness/Cost-Benefit Issues</w:t>
        </w:r>
        <w:r w:rsidR="00FA5005">
          <w:rPr>
            <w:noProof/>
            <w:webHidden/>
          </w:rPr>
          <w:tab/>
        </w:r>
        <w:r>
          <w:rPr>
            <w:noProof/>
            <w:webHidden/>
          </w:rPr>
          <w:fldChar w:fldCharType="begin"/>
        </w:r>
        <w:r w:rsidR="00FA5005">
          <w:rPr>
            <w:noProof/>
            <w:webHidden/>
          </w:rPr>
          <w:instrText xml:space="preserve"> PAGEREF _Toc244499347 \h </w:instrText>
        </w:r>
        <w:r>
          <w:rPr>
            <w:noProof/>
            <w:webHidden/>
          </w:rPr>
        </w:r>
        <w:r>
          <w:rPr>
            <w:noProof/>
            <w:webHidden/>
          </w:rPr>
          <w:fldChar w:fldCharType="separate"/>
        </w:r>
        <w:r w:rsidR="00B22FF4">
          <w:rPr>
            <w:noProof/>
            <w:webHidden/>
          </w:rPr>
          <w:t>74</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48"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_Toc244499348 \h </w:instrText>
        </w:r>
        <w:r>
          <w:rPr>
            <w:noProof/>
            <w:webHidden/>
          </w:rPr>
        </w:r>
        <w:r>
          <w:rPr>
            <w:noProof/>
            <w:webHidden/>
          </w:rPr>
          <w:fldChar w:fldCharType="separate"/>
        </w:r>
        <w:r w:rsidR="00B22FF4">
          <w:rPr>
            <w:noProof/>
            <w:webHidden/>
          </w:rPr>
          <w:t>75</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49"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_Toc244499349 \h </w:instrText>
        </w:r>
        <w:r>
          <w:rPr>
            <w:noProof/>
            <w:webHidden/>
          </w:rPr>
        </w:r>
        <w:r>
          <w:rPr>
            <w:noProof/>
            <w:webHidden/>
          </w:rPr>
          <w:fldChar w:fldCharType="separate"/>
        </w:r>
        <w:r w:rsidR="00B22FF4">
          <w:rPr>
            <w:noProof/>
            <w:webHidden/>
          </w:rPr>
          <w:t>76</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350" w:history="1">
        <w:r w:rsidR="00FA5005" w:rsidRPr="00324A09">
          <w:rPr>
            <w:rStyle w:val="Hyperlink"/>
            <w:noProof/>
          </w:rPr>
          <w:t xml:space="preserve">3.  </w:t>
        </w:r>
        <w:r w:rsidR="00FA5005">
          <w:rPr>
            <w:rFonts w:asciiTheme="minorHAnsi" w:eastAsiaTheme="minorEastAsia" w:hAnsiTheme="minorHAnsi" w:cstheme="minorBidi"/>
            <w:noProof/>
            <w:sz w:val="22"/>
            <w:szCs w:val="22"/>
          </w:rPr>
          <w:tab/>
        </w:r>
        <w:r w:rsidR="00FA5005" w:rsidRPr="00324A09">
          <w:rPr>
            <w:rStyle w:val="Hyperlink"/>
            <w:noProof/>
          </w:rPr>
          <w:t>Cost Allocation Issues</w:t>
        </w:r>
        <w:r w:rsidR="00FA5005">
          <w:rPr>
            <w:noProof/>
            <w:webHidden/>
          </w:rPr>
          <w:tab/>
        </w:r>
        <w:r>
          <w:rPr>
            <w:noProof/>
            <w:webHidden/>
          </w:rPr>
          <w:fldChar w:fldCharType="begin"/>
        </w:r>
        <w:r w:rsidR="00FA5005">
          <w:rPr>
            <w:noProof/>
            <w:webHidden/>
          </w:rPr>
          <w:instrText xml:space="preserve"> PAGEREF _Toc244499350 \h </w:instrText>
        </w:r>
        <w:r>
          <w:rPr>
            <w:noProof/>
            <w:webHidden/>
          </w:rPr>
        </w:r>
        <w:r>
          <w:rPr>
            <w:noProof/>
            <w:webHidden/>
          </w:rPr>
          <w:fldChar w:fldCharType="separate"/>
        </w:r>
        <w:r w:rsidR="00B22FF4">
          <w:rPr>
            <w:noProof/>
            <w:webHidden/>
          </w:rPr>
          <w:t>78</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351" w:history="1">
        <w:r w:rsidR="00FA5005" w:rsidRPr="00324A09">
          <w:rPr>
            <w:rStyle w:val="Hyperlink"/>
            <w:noProof/>
          </w:rPr>
          <w:t xml:space="preserve">4.  </w:t>
        </w:r>
        <w:r w:rsidR="00FA5005">
          <w:rPr>
            <w:rFonts w:asciiTheme="minorHAnsi" w:eastAsiaTheme="minorEastAsia" w:hAnsiTheme="minorHAnsi" w:cstheme="minorBidi"/>
            <w:noProof/>
            <w:sz w:val="22"/>
            <w:szCs w:val="22"/>
          </w:rPr>
          <w:tab/>
        </w:r>
        <w:r w:rsidR="00FA5005" w:rsidRPr="00324A09">
          <w:rPr>
            <w:rStyle w:val="Hyperlink"/>
            <w:noProof/>
          </w:rPr>
          <w:t>Cost Recovery Issues</w:t>
        </w:r>
        <w:r w:rsidR="00FA5005">
          <w:rPr>
            <w:noProof/>
            <w:webHidden/>
          </w:rPr>
          <w:tab/>
        </w:r>
        <w:r>
          <w:rPr>
            <w:noProof/>
            <w:webHidden/>
          </w:rPr>
          <w:fldChar w:fldCharType="begin"/>
        </w:r>
        <w:r w:rsidR="00FA5005">
          <w:rPr>
            <w:noProof/>
            <w:webHidden/>
          </w:rPr>
          <w:instrText xml:space="preserve"> PAGEREF _Toc244499351 \h </w:instrText>
        </w:r>
        <w:r>
          <w:rPr>
            <w:noProof/>
            <w:webHidden/>
          </w:rPr>
        </w:r>
        <w:r>
          <w:rPr>
            <w:noProof/>
            <w:webHidden/>
          </w:rPr>
          <w:fldChar w:fldCharType="separate"/>
        </w:r>
        <w:r w:rsidR="00B22FF4">
          <w:rPr>
            <w:noProof/>
            <w:webHidden/>
          </w:rPr>
          <w:t>78</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52" w:history="1">
        <w:r w:rsidR="00FA5005" w:rsidRPr="00324A09">
          <w:rPr>
            <w:rStyle w:val="Hyperlink"/>
            <w:noProof/>
          </w:rPr>
          <w:t>a.</w:t>
        </w:r>
        <w:r w:rsidR="00FA5005">
          <w:rPr>
            <w:rFonts w:asciiTheme="minorHAnsi" w:eastAsiaTheme="minorEastAsia" w:hAnsiTheme="minorHAnsi" w:cstheme="minorBidi"/>
            <w:noProof/>
            <w:sz w:val="22"/>
            <w:szCs w:val="22"/>
          </w:rPr>
          <w:tab/>
        </w:r>
        <w:r w:rsidR="00FA5005" w:rsidRPr="00324A09">
          <w:rPr>
            <w:rStyle w:val="Hyperlink"/>
            <w:noProof/>
          </w:rPr>
          <w:t>Customer Class Allocations</w:t>
        </w:r>
        <w:r w:rsidR="00FA5005">
          <w:rPr>
            <w:noProof/>
            <w:webHidden/>
          </w:rPr>
          <w:tab/>
        </w:r>
        <w:r>
          <w:rPr>
            <w:noProof/>
            <w:webHidden/>
          </w:rPr>
          <w:fldChar w:fldCharType="begin"/>
        </w:r>
        <w:r w:rsidR="00FA5005">
          <w:rPr>
            <w:noProof/>
            <w:webHidden/>
          </w:rPr>
          <w:instrText xml:space="preserve"> PAGEREF _Toc244499352 \h </w:instrText>
        </w:r>
        <w:r>
          <w:rPr>
            <w:noProof/>
            <w:webHidden/>
          </w:rPr>
        </w:r>
        <w:r>
          <w:rPr>
            <w:noProof/>
            <w:webHidden/>
          </w:rPr>
          <w:fldChar w:fldCharType="separate"/>
        </w:r>
        <w:r w:rsidR="00B22FF4">
          <w:rPr>
            <w:noProof/>
            <w:webHidden/>
          </w:rPr>
          <w:t>80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53"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Government/Non-profit Costs</w:t>
        </w:r>
        <w:r w:rsidR="00FA5005">
          <w:rPr>
            <w:noProof/>
            <w:webHidden/>
          </w:rPr>
          <w:tab/>
        </w:r>
        <w:r>
          <w:rPr>
            <w:noProof/>
            <w:webHidden/>
          </w:rPr>
          <w:fldChar w:fldCharType="begin"/>
        </w:r>
        <w:r w:rsidR="00FA5005">
          <w:rPr>
            <w:noProof/>
            <w:webHidden/>
          </w:rPr>
          <w:instrText xml:space="preserve"> PAGEREF _Toc244499353 \h </w:instrText>
        </w:r>
        <w:r>
          <w:rPr>
            <w:noProof/>
            <w:webHidden/>
          </w:rPr>
        </w:r>
        <w:r>
          <w:rPr>
            <w:noProof/>
            <w:webHidden/>
          </w:rPr>
          <w:fldChar w:fldCharType="separate"/>
        </w:r>
        <w:r w:rsidR="00B22FF4">
          <w:rPr>
            <w:noProof/>
            <w:webHidden/>
          </w:rPr>
          <w:t>80</w:t>
        </w:r>
        <w:r>
          <w:rPr>
            <w:noProof/>
            <w:webHidden/>
          </w:rPr>
          <w:fldChar w:fldCharType="end"/>
        </w:r>
      </w:hyperlink>
    </w:p>
    <w:p w:rsidR="00FA5005" w:rsidRDefault="00E02171">
      <w:pPr>
        <w:pStyle w:val="TOC6"/>
        <w:rPr>
          <w:rFonts w:asciiTheme="minorHAnsi" w:hAnsiTheme="minorHAnsi" w:cstheme="minorBidi"/>
        </w:rPr>
      </w:pPr>
      <w:hyperlink w:anchor="_Toc244499354" w:history="1">
        <w:r w:rsidR="00FA5005" w:rsidRPr="00324A09">
          <w:rPr>
            <w:rStyle w:val="Hyperlink"/>
          </w:rPr>
          <w:t>(A)</w:t>
        </w:r>
        <w:r w:rsidR="00FA5005">
          <w:rPr>
            <w:rFonts w:asciiTheme="minorHAnsi" w:hAnsiTheme="minorHAnsi" w:cstheme="minorBidi"/>
          </w:rPr>
          <w:tab/>
        </w:r>
        <w:r w:rsidR="00FA5005" w:rsidRPr="00324A09">
          <w:rPr>
            <w:rStyle w:val="Hyperlink"/>
          </w:rPr>
          <w:t>Positions of the Parties</w:t>
        </w:r>
        <w:r w:rsidR="00FA5005">
          <w:rPr>
            <w:webHidden/>
          </w:rPr>
          <w:tab/>
        </w:r>
        <w:r>
          <w:rPr>
            <w:webHidden/>
          </w:rPr>
          <w:fldChar w:fldCharType="begin"/>
        </w:r>
        <w:r w:rsidR="00FA5005">
          <w:rPr>
            <w:webHidden/>
          </w:rPr>
          <w:instrText xml:space="preserve"> PAGEREF _Toc244499354 \h </w:instrText>
        </w:r>
        <w:r>
          <w:rPr>
            <w:webHidden/>
          </w:rPr>
        </w:r>
        <w:r>
          <w:rPr>
            <w:webHidden/>
          </w:rPr>
          <w:fldChar w:fldCharType="separate"/>
        </w:r>
        <w:r w:rsidR="00B22FF4">
          <w:rPr>
            <w:webHidden/>
          </w:rPr>
          <w:t>80</w:t>
        </w:r>
        <w:r>
          <w:rPr>
            <w:webHidden/>
          </w:rPr>
          <w:fldChar w:fldCharType="end"/>
        </w:r>
      </w:hyperlink>
    </w:p>
    <w:p w:rsidR="00FA5005" w:rsidRDefault="00E02171">
      <w:pPr>
        <w:pStyle w:val="TOC6"/>
        <w:rPr>
          <w:rFonts w:asciiTheme="minorHAnsi" w:hAnsiTheme="minorHAnsi" w:cstheme="minorBidi"/>
        </w:rPr>
      </w:pPr>
      <w:hyperlink w:anchor="_Toc244499355" w:history="1">
        <w:r w:rsidR="00FA5005" w:rsidRPr="00324A09">
          <w:rPr>
            <w:rStyle w:val="Hyperlink"/>
          </w:rPr>
          <w:t>(B)</w:t>
        </w:r>
        <w:r w:rsidR="00FA5005">
          <w:rPr>
            <w:rFonts w:asciiTheme="minorHAnsi" w:hAnsiTheme="minorHAnsi" w:cstheme="minorBidi"/>
          </w:rPr>
          <w:tab/>
        </w:r>
        <w:r w:rsidR="00FA5005" w:rsidRPr="00324A09">
          <w:rPr>
            <w:rStyle w:val="Hyperlink"/>
          </w:rPr>
          <w:t>Disposition</w:t>
        </w:r>
        <w:r w:rsidR="00FA5005">
          <w:rPr>
            <w:webHidden/>
          </w:rPr>
          <w:tab/>
        </w:r>
        <w:r>
          <w:rPr>
            <w:webHidden/>
          </w:rPr>
          <w:fldChar w:fldCharType="begin"/>
        </w:r>
        <w:r w:rsidR="00FA5005">
          <w:rPr>
            <w:webHidden/>
          </w:rPr>
          <w:instrText xml:space="preserve"> PAGEREF _Toc244499355 \h </w:instrText>
        </w:r>
        <w:r>
          <w:rPr>
            <w:webHidden/>
          </w:rPr>
        </w:r>
        <w:r>
          <w:rPr>
            <w:webHidden/>
          </w:rPr>
          <w:fldChar w:fldCharType="separate"/>
        </w:r>
        <w:r w:rsidR="00B22FF4">
          <w:rPr>
            <w:webHidden/>
          </w:rPr>
          <w:t>81</w:t>
        </w:r>
        <w:r>
          <w:rPr>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56"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kWh Energy Charge Versus a kW Demand Charge for Large C&amp;I Customers</w:t>
        </w:r>
        <w:r w:rsidR="00FA5005">
          <w:rPr>
            <w:noProof/>
            <w:webHidden/>
          </w:rPr>
          <w:tab/>
        </w:r>
        <w:r>
          <w:rPr>
            <w:noProof/>
            <w:webHidden/>
          </w:rPr>
          <w:fldChar w:fldCharType="begin"/>
        </w:r>
        <w:r w:rsidR="00FA5005">
          <w:rPr>
            <w:noProof/>
            <w:webHidden/>
          </w:rPr>
          <w:instrText xml:space="preserve"> PAGEREF _Toc244499356 \h </w:instrText>
        </w:r>
        <w:r>
          <w:rPr>
            <w:noProof/>
            <w:webHidden/>
          </w:rPr>
        </w:r>
        <w:r>
          <w:rPr>
            <w:noProof/>
            <w:webHidden/>
          </w:rPr>
          <w:fldChar w:fldCharType="separate"/>
        </w:r>
        <w:r w:rsidR="00B22FF4">
          <w:rPr>
            <w:noProof/>
            <w:webHidden/>
          </w:rPr>
          <w:t>83</w:t>
        </w:r>
        <w:r>
          <w:rPr>
            <w:noProof/>
            <w:webHidden/>
          </w:rPr>
          <w:fldChar w:fldCharType="end"/>
        </w:r>
      </w:hyperlink>
    </w:p>
    <w:p w:rsidR="00FA5005" w:rsidRDefault="00E02171">
      <w:pPr>
        <w:pStyle w:val="TOC6"/>
        <w:rPr>
          <w:rFonts w:asciiTheme="minorHAnsi" w:hAnsiTheme="minorHAnsi" w:cstheme="minorBidi"/>
        </w:rPr>
      </w:pPr>
      <w:hyperlink w:anchor="_Toc244499357" w:history="1">
        <w:r w:rsidR="00FA5005" w:rsidRPr="00324A09">
          <w:rPr>
            <w:rStyle w:val="Hyperlink"/>
          </w:rPr>
          <w:t>(A)</w:t>
        </w:r>
        <w:r w:rsidR="00FA5005">
          <w:rPr>
            <w:rFonts w:asciiTheme="minorHAnsi" w:hAnsiTheme="minorHAnsi" w:cstheme="minorBidi"/>
          </w:rPr>
          <w:tab/>
        </w:r>
        <w:r w:rsidR="00FA5005" w:rsidRPr="00324A09">
          <w:rPr>
            <w:rStyle w:val="Hyperlink"/>
          </w:rPr>
          <w:t>Positions of the Parties</w:t>
        </w:r>
        <w:r w:rsidR="00FA5005">
          <w:rPr>
            <w:webHidden/>
          </w:rPr>
          <w:tab/>
        </w:r>
        <w:r>
          <w:rPr>
            <w:webHidden/>
          </w:rPr>
          <w:fldChar w:fldCharType="begin"/>
        </w:r>
        <w:r w:rsidR="00FA5005">
          <w:rPr>
            <w:webHidden/>
          </w:rPr>
          <w:instrText xml:space="preserve"> PAGEREF _Toc244499357 \h </w:instrText>
        </w:r>
        <w:r>
          <w:rPr>
            <w:webHidden/>
          </w:rPr>
        </w:r>
        <w:r>
          <w:rPr>
            <w:webHidden/>
          </w:rPr>
          <w:fldChar w:fldCharType="separate"/>
        </w:r>
        <w:r w:rsidR="00B22FF4">
          <w:rPr>
            <w:webHidden/>
          </w:rPr>
          <w:t>83</w:t>
        </w:r>
        <w:r>
          <w:rPr>
            <w:webHidden/>
          </w:rPr>
          <w:fldChar w:fldCharType="end"/>
        </w:r>
      </w:hyperlink>
    </w:p>
    <w:p w:rsidR="00FA5005" w:rsidRDefault="00E02171">
      <w:pPr>
        <w:pStyle w:val="TOC6"/>
        <w:rPr>
          <w:rFonts w:asciiTheme="minorHAnsi" w:hAnsiTheme="minorHAnsi" w:cstheme="minorBidi"/>
        </w:rPr>
      </w:pPr>
      <w:hyperlink w:anchor="_Toc244499358" w:history="1">
        <w:r w:rsidR="00FA5005" w:rsidRPr="00324A09">
          <w:rPr>
            <w:rStyle w:val="Hyperlink"/>
          </w:rPr>
          <w:t>(B)</w:t>
        </w:r>
        <w:r w:rsidR="00FA5005">
          <w:rPr>
            <w:rFonts w:asciiTheme="minorHAnsi" w:hAnsiTheme="minorHAnsi" w:cstheme="minorBidi"/>
          </w:rPr>
          <w:tab/>
        </w:r>
        <w:r w:rsidR="00FA5005" w:rsidRPr="00324A09">
          <w:rPr>
            <w:rStyle w:val="Hyperlink"/>
          </w:rPr>
          <w:t>Disposition</w:t>
        </w:r>
        <w:r w:rsidR="00FA5005">
          <w:rPr>
            <w:webHidden/>
          </w:rPr>
          <w:tab/>
        </w:r>
        <w:r>
          <w:rPr>
            <w:webHidden/>
          </w:rPr>
          <w:fldChar w:fldCharType="begin"/>
        </w:r>
        <w:r w:rsidR="00FA5005">
          <w:rPr>
            <w:webHidden/>
          </w:rPr>
          <w:instrText xml:space="preserve"> PAGEREF _Toc244499358 \h </w:instrText>
        </w:r>
        <w:r>
          <w:rPr>
            <w:webHidden/>
          </w:rPr>
        </w:r>
        <w:r>
          <w:rPr>
            <w:webHidden/>
          </w:rPr>
          <w:fldChar w:fldCharType="separate"/>
        </w:r>
        <w:r w:rsidR="00B22FF4">
          <w:rPr>
            <w:webHidden/>
          </w:rPr>
          <w:t>84</w:t>
        </w:r>
        <w:r>
          <w:rPr>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59" w:history="1">
        <w:r w:rsidR="00FA5005" w:rsidRPr="00324A09">
          <w:rPr>
            <w:rStyle w:val="Hyperlink"/>
            <w:noProof/>
          </w:rPr>
          <w:t>b.</w:t>
        </w:r>
        <w:r w:rsidR="00FA5005">
          <w:rPr>
            <w:rFonts w:asciiTheme="minorHAnsi" w:eastAsiaTheme="minorEastAsia" w:hAnsiTheme="minorHAnsi" w:cstheme="minorBidi"/>
            <w:noProof/>
            <w:sz w:val="22"/>
            <w:szCs w:val="22"/>
          </w:rPr>
          <w:tab/>
        </w:r>
        <w:r w:rsidR="00FA5005" w:rsidRPr="00324A09">
          <w:rPr>
            <w:rStyle w:val="Hyperlink"/>
            <w:noProof/>
          </w:rPr>
          <w:t>Cost Recovery through a Separate Surcharge or Within Distribution Rates</w:t>
        </w:r>
        <w:r w:rsidR="00FA5005">
          <w:rPr>
            <w:noProof/>
            <w:webHidden/>
          </w:rPr>
          <w:tab/>
        </w:r>
        <w:r>
          <w:rPr>
            <w:noProof/>
            <w:webHidden/>
          </w:rPr>
          <w:fldChar w:fldCharType="begin"/>
        </w:r>
        <w:r w:rsidR="00FA5005">
          <w:rPr>
            <w:noProof/>
            <w:webHidden/>
          </w:rPr>
          <w:instrText xml:space="preserve"> PAGEREF _Toc244499359 \h </w:instrText>
        </w:r>
        <w:r>
          <w:rPr>
            <w:noProof/>
            <w:webHidden/>
          </w:rPr>
        </w:r>
        <w:r>
          <w:rPr>
            <w:noProof/>
            <w:webHidden/>
          </w:rPr>
          <w:fldChar w:fldCharType="separate"/>
        </w:r>
        <w:r w:rsidR="00B22FF4">
          <w:rPr>
            <w:noProof/>
            <w:webHidden/>
          </w:rPr>
          <w:t>86</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60"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_Toc244499360 \h </w:instrText>
        </w:r>
        <w:r>
          <w:rPr>
            <w:noProof/>
            <w:webHidden/>
          </w:rPr>
        </w:r>
        <w:r>
          <w:rPr>
            <w:noProof/>
            <w:webHidden/>
          </w:rPr>
          <w:fldChar w:fldCharType="separate"/>
        </w:r>
        <w:r w:rsidR="00B22FF4">
          <w:rPr>
            <w:noProof/>
            <w:webHidden/>
          </w:rPr>
          <w:t>86</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61"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_Toc244499361 \h </w:instrText>
        </w:r>
        <w:r>
          <w:rPr>
            <w:noProof/>
            <w:webHidden/>
          </w:rPr>
        </w:r>
        <w:r>
          <w:rPr>
            <w:noProof/>
            <w:webHidden/>
          </w:rPr>
          <w:fldChar w:fldCharType="separate"/>
        </w:r>
        <w:r w:rsidR="00B22FF4">
          <w:rPr>
            <w:noProof/>
            <w:webHidden/>
          </w:rPr>
          <w:t>88</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62" w:history="1">
        <w:r w:rsidR="00FA5005" w:rsidRPr="00324A09">
          <w:rPr>
            <w:rStyle w:val="Hyperlink"/>
            <w:noProof/>
          </w:rPr>
          <w:t>c.</w:t>
        </w:r>
        <w:r w:rsidR="00FA5005">
          <w:rPr>
            <w:rFonts w:asciiTheme="minorHAnsi" w:eastAsiaTheme="minorEastAsia" w:hAnsiTheme="minorHAnsi" w:cstheme="minorBidi"/>
            <w:noProof/>
            <w:sz w:val="22"/>
            <w:szCs w:val="22"/>
          </w:rPr>
          <w:tab/>
        </w:r>
        <w:r w:rsidR="00FA5005" w:rsidRPr="00324A09">
          <w:rPr>
            <w:rStyle w:val="Hyperlink"/>
            <w:noProof/>
          </w:rPr>
          <w:t>Interest on Over/Under Collections</w:t>
        </w:r>
        <w:r w:rsidR="00FA5005">
          <w:rPr>
            <w:noProof/>
            <w:webHidden/>
          </w:rPr>
          <w:tab/>
        </w:r>
        <w:r>
          <w:rPr>
            <w:noProof/>
            <w:webHidden/>
          </w:rPr>
          <w:fldChar w:fldCharType="begin"/>
        </w:r>
        <w:r w:rsidR="00FA5005">
          <w:rPr>
            <w:noProof/>
            <w:webHidden/>
          </w:rPr>
          <w:instrText xml:space="preserve"> PAGEREF _Toc244499362 \h </w:instrText>
        </w:r>
        <w:r>
          <w:rPr>
            <w:noProof/>
            <w:webHidden/>
          </w:rPr>
        </w:r>
        <w:r>
          <w:rPr>
            <w:noProof/>
            <w:webHidden/>
          </w:rPr>
          <w:fldChar w:fldCharType="separate"/>
        </w:r>
        <w:r w:rsidR="00B22FF4">
          <w:rPr>
            <w:noProof/>
            <w:webHidden/>
          </w:rPr>
          <w:t>89</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63"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_Toc244499363 \h </w:instrText>
        </w:r>
        <w:r>
          <w:rPr>
            <w:noProof/>
            <w:webHidden/>
          </w:rPr>
        </w:r>
        <w:r>
          <w:rPr>
            <w:noProof/>
            <w:webHidden/>
          </w:rPr>
          <w:fldChar w:fldCharType="separate"/>
        </w:r>
        <w:r w:rsidR="00B22FF4">
          <w:rPr>
            <w:noProof/>
            <w:webHidden/>
          </w:rPr>
          <w:t>89</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64"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_Toc244499364 \h </w:instrText>
        </w:r>
        <w:r>
          <w:rPr>
            <w:noProof/>
            <w:webHidden/>
          </w:rPr>
        </w:r>
        <w:r>
          <w:rPr>
            <w:noProof/>
            <w:webHidden/>
          </w:rPr>
          <w:fldChar w:fldCharType="separate"/>
        </w:r>
        <w:r w:rsidR="00B22FF4">
          <w:rPr>
            <w:noProof/>
            <w:webHidden/>
          </w:rPr>
          <w:t>90</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65" w:history="1">
        <w:r w:rsidR="00FA5005" w:rsidRPr="00324A09">
          <w:rPr>
            <w:rStyle w:val="Hyperlink"/>
            <w:noProof/>
          </w:rPr>
          <w:t>d.</w:t>
        </w:r>
        <w:r w:rsidR="00FA5005">
          <w:rPr>
            <w:rFonts w:asciiTheme="minorHAnsi" w:eastAsiaTheme="minorEastAsia" w:hAnsiTheme="minorHAnsi" w:cstheme="minorBidi"/>
            <w:noProof/>
            <w:sz w:val="22"/>
            <w:szCs w:val="22"/>
          </w:rPr>
          <w:tab/>
        </w:r>
        <w:r w:rsidR="00FA5005" w:rsidRPr="00324A09">
          <w:rPr>
            <w:rStyle w:val="Hyperlink"/>
            <w:noProof/>
          </w:rPr>
          <w:t>Interest Associated with the Recovery of Start-up Costs</w:t>
        </w:r>
        <w:r w:rsidR="00FA5005">
          <w:rPr>
            <w:noProof/>
            <w:webHidden/>
          </w:rPr>
          <w:tab/>
        </w:r>
        <w:r>
          <w:rPr>
            <w:noProof/>
            <w:webHidden/>
          </w:rPr>
          <w:fldChar w:fldCharType="begin"/>
        </w:r>
        <w:r w:rsidR="00FA5005">
          <w:rPr>
            <w:noProof/>
            <w:webHidden/>
          </w:rPr>
          <w:instrText xml:space="preserve"> PAGEREF _Toc244499365 \h </w:instrText>
        </w:r>
        <w:r>
          <w:rPr>
            <w:noProof/>
            <w:webHidden/>
          </w:rPr>
        </w:r>
        <w:r>
          <w:rPr>
            <w:noProof/>
            <w:webHidden/>
          </w:rPr>
          <w:fldChar w:fldCharType="separate"/>
        </w:r>
        <w:r w:rsidR="00B22FF4">
          <w:rPr>
            <w:noProof/>
            <w:webHidden/>
          </w:rPr>
          <w:t>90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66"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_Toc244499366 \h </w:instrText>
        </w:r>
        <w:r>
          <w:rPr>
            <w:noProof/>
            <w:webHidden/>
          </w:rPr>
        </w:r>
        <w:r>
          <w:rPr>
            <w:noProof/>
            <w:webHidden/>
          </w:rPr>
          <w:fldChar w:fldCharType="separate"/>
        </w:r>
        <w:r w:rsidR="00B22FF4">
          <w:rPr>
            <w:noProof/>
            <w:webHidden/>
          </w:rPr>
          <w:t>90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67"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_Toc244499367 \h </w:instrText>
        </w:r>
        <w:r>
          <w:rPr>
            <w:noProof/>
            <w:webHidden/>
          </w:rPr>
        </w:r>
        <w:r>
          <w:rPr>
            <w:noProof/>
            <w:webHidden/>
          </w:rPr>
          <w:fldChar w:fldCharType="separate"/>
        </w:r>
        <w:r w:rsidR="00B22FF4">
          <w:rPr>
            <w:noProof/>
            <w:webHidden/>
          </w:rPr>
          <w:t>91</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68" w:history="1">
        <w:r w:rsidR="00FA5005" w:rsidRPr="00324A09">
          <w:rPr>
            <w:rStyle w:val="Hyperlink"/>
            <w:noProof/>
          </w:rPr>
          <w:t>e.</w:t>
        </w:r>
        <w:r w:rsidR="00FA5005">
          <w:rPr>
            <w:rFonts w:asciiTheme="minorHAnsi" w:eastAsiaTheme="minorEastAsia" w:hAnsiTheme="minorHAnsi" w:cstheme="minorBidi"/>
            <w:noProof/>
            <w:sz w:val="22"/>
            <w:szCs w:val="22"/>
          </w:rPr>
          <w:tab/>
        </w:r>
        <w:r w:rsidR="00FA5005" w:rsidRPr="00324A09">
          <w:rPr>
            <w:rStyle w:val="Hyperlink"/>
            <w:noProof/>
          </w:rPr>
          <w:t>Required Bidding of Met Ed and Penelec’s Demand Response Measures into PJM’s Reliability Pricing Model Auction</w:t>
        </w:r>
        <w:r w:rsidR="00FA5005">
          <w:rPr>
            <w:noProof/>
            <w:webHidden/>
          </w:rPr>
          <w:tab/>
        </w:r>
        <w:r>
          <w:rPr>
            <w:noProof/>
            <w:webHidden/>
          </w:rPr>
          <w:fldChar w:fldCharType="begin"/>
        </w:r>
        <w:r w:rsidR="00FA5005">
          <w:rPr>
            <w:noProof/>
            <w:webHidden/>
          </w:rPr>
          <w:instrText xml:space="preserve"> PAGEREF _Toc244499368 \h </w:instrText>
        </w:r>
        <w:r>
          <w:rPr>
            <w:noProof/>
            <w:webHidden/>
          </w:rPr>
        </w:r>
        <w:r>
          <w:rPr>
            <w:noProof/>
            <w:webHidden/>
          </w:rPr>
          <w:fldChar w:fldCharType="separate"/>
        </w:r>
        <w:r w:rsidR="00B22FF4">
          <w:rPr>
            <w:noProof/>
            <w:webHidden/>
          </w:rPr>
          <w:t>92</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69"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_Toc244499369 \h </w:instrText>
        </w:r>
        <w:r>
          <w:rPr>
            <w:noProof/>
            <w:webHidden/>
          </w:rPr>
        </w:r>
        <w:r>
          <w:rPr>
            <w:noProof/>
            <w:webHidden/>
          </w:rPr>
          <w:fldChar w:fldCharType="separate"/>
        </w:r>
        <w:r w:rsidR="00B22FF4">
          <w:rPr>
            <w:noProof/>
            <w:webHidden/>
          </w:rPr>
          <w:t>92</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70"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_Toc244499370 \h </w:instrText>
        </w:r>
        <w:r>
          <w:rPr>
            <w:noProof/>
            <w:webHidden/>
          </w:rPr>
        </w:r>
        <w:r>
          <w:rPr>
            <w:noProof/>
            <w:webHidden/>
          </w:rPr>
          <w:fldChar w:fldCharType="separate"/>
        </w:r>
        <w:r w:rsidR="00B22FF4">
          <w:rPr>
            <w:noProof/>
            <w:webHidden/>
          </w:rPr>
          <w:t>93</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71" w:history="1">
        <w:r w:rsidR="00FA5005" w:rsidRPr="00324A09">
          <w:rPr>
            <w:rStyle w:val="Hyperlink"/>
            <w:noProof/>
          </w:rPr>
          <w:t>f.</w:t>
        </w:r>
        <w:r w:rsidR="00FA5005">
          <w:rPr>
            <w:rFonts w:asciiTheme="minorHAnsi" w:eastAsiaTheme="minorEastAsia" w:hAnsiTheme="minorHAnsi" w:cstheme="minorBidi"/>
            <w:noProof/>
            <w:sz w:val="22"/>
            <w:szCs w:val="22"/>
          </w:rPr>
          <w:tab/>
        </w:r>
        <w:r w:rsidR="00FA5005" w:rsidRPr="00324A09">
          <w:rPr>
            <w:rStyle w:val="Hyperlink"/>
            <w:noProof/>
          </w:rPr>
          <w:t>EE&amp;C Plans and Rate Base Proceedings</w:t>
        </w:r>
        <w:r w:rsidR="00FA5005">
          <w:rPr>
            <w:noProof/>
            <w:webHidden/>
          </w:rPr>
          <w:tab/>
        </w:r>
        <w:r>
          <w:rPr>
            <w:noProof/>
            <w:webHidden/>
          </w:rPr>
          <w:fldChar w:fldCharType="begin"/>
        </w:r>
        <w:r w:rsidR="00FA5005">
          <w:rPr>
            <w:noProof/>
            <w:webHidden/>
          </w:rPr>
          <w:instrText xml:space="preserve"> PAGEREF _Toc244499371 \h </w:instrText>
        </w:r>
        <w:r>
          <w:rPr>
            <w:noProof/>
            <w:webHidden/>
          </w:rPr>
        </w:r>
        <w:r>
          <w:rPr>
            <w:noProof/>
            <w:webHidden/>
          </w:rPr>
          <w:fldChar w:fldCharType="separate"/>
        </w:r>
        <w:r w:rsidR="00B22FF4">
          <w:rPr>
            <w:noProof/>
            <w:webHidden/>
          </w:rPr>
          <w:t>93</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72"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_Toc244499372 \h </w:instrText>
        </w:r>
        <w:r>
          <w:rPr>
            <w:noProof/>
            <w:webHidden/>
          </w:rPr>
        </w:r>
        <w:r>
          <w:rPr>
            <w:noProof/>
            <w:webHidden/>
          </w:rPr>
          <w:fldChar w:fldCharType="separate"/>
        </w:r>
        <w:r w:rsidR="00B22FF4">
          <w:rPr>
            <w:noProof/>
            <w:webHidden/>
          </w:rPr>
          <w:t>93</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73"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_Toc244499373 \h </w:instrText>
        </w:r>
        <w:r>
          <w:rPr>
            <w:noProof/>
            <w:webHidden/>
          </w:rPr>
        </w:r>
        <w:r>
          <w:rPr>
            <w:noProof/>
            <w:webHidden/>
          </w:rPr>
          <w:fldChar w:fldCharType="separate"/>
        </w:r>
        <w:r w:rsidR="00B22FF4">
          <w:rPr>
            <w:noProof/>
            <w:webHidden/>
          </w:rPr>
          <w:t>93</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74" w:history="1">
        <w:r w:rsidR="00FA5005" w:rsidRPr="00324A09">
          <w:rPr>
            <w:rStyle w:val="Hyperlink"/>
            <w:noProof/>
          </w:rPr>
          <w:t>g.</w:t>
        </w:r>
        <w:r w:rsidR="00FA5005">
          <w:rPr>
            <w:rFonts w:asciiTheme="minorHAnsi" w:eastAsiaTheme="minorEastAsia" w:hAnsiTheme="minorHAnsi" w:cstheme="minorBidi"/>
            <w:noProof/>
            <w:sz w:val="22"/>
            <w:szCs w:val="22"/>
          </w:rPr>
          <w:tab/>
        </w:r>
        <w:r w:rsidR="00FA5005" w:rsidRPr="00324A09">
          <w:rPr>
            <w:rStyle w:val="Hyperlink"/>
            <w:noProof/>
          </w:rPr>
          <w:t>Contingency Reserve</w:t>
        </w:r>
        <w:r w:rsidR="00FA5005">
          <w:rPr>
            <w:noProof/>
            <w:webHidden/>
          </w:rPr>
          <w:tab/>
        </w:r>
        <w:r>
          <w:rPr>
            <w:noProof/>
            <w:webHidden/>
          </w:rPr>
          <w:fldChar w:fldCharType="begin"/>
        </w:r>
        <w:r w:rsidR="00FA5005">
          <w:rPr>
            <w:noProof/>
            <w:webHidden/>
          </w:rPr>
          <w:instrText xml:space="preserve"> PAGEREF _Toc244499374 \h </w:instrText>
        </w:r>
        <w:r>
          <w:rPr>
            <w:noProof/>
            <w:webHidden/>
          </w:rPr>
        </w:r>
        <w:r>
          <w:rPr>
            <w:noProof/>
            <w:webHidden/>
          </w:rPr>
          <w:fldChar w:fldCharType="separate"/>
        </w:r>
        <w:r w:rsidR="00B22FF4">
          <w:rPr>
            <w:noProof/>
            <w:webHidden/>
          </w:rPr>
          <w:t>94</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75"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_Toc244499375 \h </w:instrText>
        </w:r>
        <w:r>
          <w:rPr>
            <w:noProof/>
            <w:webHidden/>
          </w:rPr>
        </w:r>
        <w:r>
          <w:rPr>
            <w:noProof/>
            <w:webHidden/>
          </w:rPr>
          <w:fldChar w:fldCharType="separate"/>
        </w:r>
        <w:r w:rsidR="00B22FF4">
          <w:rPr>
            <w:noProof/>
            <w:webHidden/>
          </w:rPr>
          <w:t>94</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76"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_Toc244499376 \h </w:instrText>
        </w:r>
        <w:r>
          <w:rPr>
            <w:noProof/>
            <w:webHidden/>
          </w:rPr>
        </w:r>
        <w:r>
          <w:rPr>
            <w:noProof/>
            <w:webHidden/>
          </w:rPr>
          <w:fldChar w:fldCharType="separate"/>
        </w:r>
        <w:r w:rsidR="00B22FF4">
          <w:rPr>
            <w:noProof/>
            <w:webHidden/>
          </w:rPr>
          <w:t>94</w:t>
        </w:r>
        <w:r>
          <w:rPr>
            <w:noProof/>
            <w:webHidden/>
          </w:rPr>
          <w:fldChar w:fldCharType="end"/>
        </w:r>
      </w:hyperlink>
    </w:p>
    <w:p w:rsidR="00FA5005" w:rsidRDefault="00E02171">
      <w:pPr>
        <w:pStyle w:val="TOC2"/>
        <w:rPr>
          <w:rFonts w:asciiTheme="minorHAnsi" w:eastAsiaTheme="minorEastAsia" w:hAnsiTheme="minorHAnsi" w:cstheme="minorBidi"/>
          <w:noProof/>
          <w:sz w:val="22"/>
          <w:szCs w:val="22"/>
        </w:rPr>
      </w:pPr>
      <w:hyperlink w:anchor="_Toc244499377" w:history="1">
        <w:r w:rsidR="00FA5005" w:rsidRPr="00324A09">
          <w:rPr>
            <w:rStyle w:val="Hyperlink"/>
            <w:noProof/>
          </w:rPr>
          <w:t xml:space="preserve">C.  </w:t>
        </w:r>
        <w:r w:rsidR="00FA5005">
          <w:rPr>
            <w:rFonts w:asciiTheme="minorHAnsi" w:eastAsiaTheme="minorEastAsia" w:hAnsiTheme="minorHAnsi" w:cstheme="minorBidi"/>
            <w:noProof/>
            <w:sz w:val="22"/>
            <w:szCs w:val="22"/>
          </w:rPr>
          <w:tab/>
        </w:r>
        <w:r w:rsidR="00FA5005" w:rsidRPr="00324A09">
          <w:rPr>
            <w:rStyle w:val="Hyperlink"/>
            <w:noProof/>
          </w:rPr>
          <w:t>Conservation Service Provider Issues</w:t>
        </w:r>
        <w:r w:rsidR="00FA5005">
          <w:rPr>
            <w:noProof/>
            <w:webHidden/>
          </w:rPr>
          <w:tab/>
        </w:r>
        <w:r>
          <w:rPr>
            <w:noProof/>
            <w:webHidden/>
          </w:rPr>
          <w:fldChar w:fldCharType="begin"/>
        </w:r>
        <w:r w:rsidR="00FA5005">
          <w:rPr>
            <w:noProof/>
            <w:webHidden/>
          </w:rPr>
          <w:instrText xml:space="preserve"> PAGEREF _Toc244499377 \h </w:instrText>
        </w:r>
        <w:r>
          <w:rPr>
            <w:noProof/>
            <w:webHidden/>
          </w:rPr>
        </w:r>
        <w:r>
          <w:rPr>
            <w:noProof/>
            <w:webHidden/>
          </w:rPr>
          <w:fldChar w:fldCharType="separate"/>
        </w:r>
        <w:r w:rsidR="00B22FF4">
          <w:rPr>
            <w:noProof/>
            <w:webHidden/>
          </w:rPr>
          <w:t>95</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378"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Issues Pertaining to all FirstEnergy Companies</w:t>
        </w:r>
        <w:r w:rsidR="00FA5005">
          <w:rPr>
            <w:noProof/>
            <w:webHidden/>
          </w:rPr>
          <w:tab/>
        </w:r>
        <w:r>
          <w:rPr>
            <w:noProof/>
            <w:webHidden/>
          </w:rPr>
          <w:fldChar w:fldCharType="begin"/>
        </w:r>
        <w:r w:rsidR="00FA5005">
          <w:rPr>
            <w:noProof/>
            <w:webHidden/>
          </w:rPr>
          <w:instrText xml:space="preserve"> PAGEREF _Toc244499378 \h </w:instrText>
        </w:r>
        <w:r>
          <w:rPr>
            <w:noProof/>
            <w:webHidden/>
          </w:rPr>
        </w:r>
        <w:r>
          <w:rPr>
            <w:noProof/>
            <w:webHidden/>
          </w:rPr>
          <w:fldChar w:fldCharType="separate"/>
        </w:r>
        <w:r w:rsidR="00B22FF4">
          <w:rPr>
            <w:noProof/>
            <w:webHidden/>
          </w:rPr>
          <w:t>97</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79" w:history="1">
        <w:r w:rsidR="00FA5005" w:rsidRPr="00324A09">
          <w:rPr>
            <w:rStyle w:val="Hyperlink"/>
            <w:noProof/>
          </w:rPr>
          <w:t>a.</w:t>
        </w:r>
        <w:r w:rsidR="00FA5005">
          <w:rPr>
            <w:rFonts w:asciiTheme="minorHAnsi" w:eastAsiaTheme="minorEastAsia" w:hAnsiTheme="minorHAnsi" w:cstheme="minorBidi"/>
            <w:noProof/>
            <w:sz w:val="22"/>
            <w:szCs w:val="22"/>
          </w:rPr>
          <w:tab/>
        </w:r>
        <w:r w:rsidR="00FA5005" w:rsidRPr="00324A09">
          <w:rPr>
            <w:rStyle w:val="Hyperlink"/>
            <w:noProof/>
          </w:rPr>
          <w:t>Contract for Services with at Least One Conservation Service Provider Selected Through an RFP Process</w:t>
        </w:r>
        <w:r w:rsidR="00FA5005">
          <w:rPr>
            <w:noProof/>
            <w:webHidden/>
          </w:rPr>
          <w:tab/>
        </w:r>
        <w:r>
          <w:rPr>
            <w:noProof/>
            <w:webHidden/>
          </w:rPr>
          <w:fldChar w:fldCharType="begin"/>
        </w:r>
        <w:r w:rsidR="00FA5005">
          <w:rPr>
            <w:noProof/>
            <w:webHidden/>
          </w:rPr>
          <w:instrText xml:space="preserve"> PAGEREF _Toc244499379 \h </w:instrText>
        </w:r>
        <w:r>
          <w:rPr>
            <w:noProof/>
            <w:webHidden/>
          </w:rPr>
        </w:r>
        <w:r>
          <w:rPr>
            <w:noProof/>
            <w:webHidden/>
          </w:rPr>
          <w:fldChar w:fldCharType="separate"/>
        </w:r>
        <w:r w:rsidR="00B22FF4">
          <w:rPr>
            <w:noProof/>
            <w:webHidden/>
          </w:rPr>
          <w:t>97</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80"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_Toc244499380 \h </w:instrText>
        </w:r>
        <w:r>
          <w:rPr>
            <w:noProof/>
            <w:webHidden/>
          </w:rPr>
        </w:r>
        <w:r>
          <w:rPr>
            <w:noProof/>
            <w:webHidden/>
          </w:rPr>
          <w:fldChar w:fldCharType="separate"/>
        </w:r>
        <w:r w:rsidR="00B22FF4">
          <w:rPr>
            <w:noProof/>
            <w:webHidden/>
          </w:rPr>
          <w:t>97</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81"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_Toc244499381 \h </w:instrText>
        </w:r>
        <w:r>
          <w:rPr>
            <w:noProof/>
            <w:webHidden/>
          </w:rPr>
        </w:r>
        <w:r>
          <w:rPr>
            <w:noProof/>
            <w:webHidden/>
          </w:rPr>
          <w:fldChar w:fldCharType="separate"/>
        </w:r>
        <w:r w:rsidR="00B22FF4">
          <w:rPr>
            <w:noProof/>
            <w:webHidden/>
          </w:rPr>
          <w:t>98</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82" w:history="1">
        <w:r w:rsidR="00FA5005" w:rsidRPr="00324A09">
          <w:rPr>
            <w:rStyle w:val="Hyperlink"/>
            <w:noProof/>
          </w:rPr>
          <w:t>b.</w:t>
        </w:r>
        <w:r w:rsidR="00FA5005">
          <w:rPr>
            <w:rFonts w:asciiTheme="minorHAnsi" w:eastAsiaTheme="minorEastAsia" w:hAnsiTheme="minorHAnsi" w:cstheme="minorBidi"/>
            <w:noProof/>
            <w:sz w:val="22"/>
            <w:szCs w:val="22"/>
          </w:rPr>
          <w:tab/>
        </w:r>
        <w:r w:rsidR="00FA5005" w:rsidRPr="00324A09">
          <w:rPr>
            <w:rStyle w:val="Hyperlink"/>
            <w:noProof/>
          </w:rPr>
          <w:t>Length of the Demand Response Program</w:t>
        </w:r>
        <w:r w:rsidR="00FA5005">
          <w:rPr>
            <w:noProof/>
            <w:webHidden/>
          </w:rPr>
          <w:tab/>
        </w:r>
        <w:r>
          <w:rPr>
            <w:noProof/>
            <w:webHidden/>
          </w:rPr>
          <w:fldChar w:fldCharType="begin"/>
        </w:r>
        <w:r w:rsidR="00FA5005">
          <w:rPr>
            <w:noProof/>
            <w:webHidden/>
          </w:rPr>
          <w:instrText xml:space="preserve"> PAGEREF _Toc244499382 \h </w:instrText>
        </w:r>
        <w:r>
          <w:rPr>
            <w:noProof/>
            <w:webHidden/>
          </w:rPr>
        </w:r>
        <w:r>
          <w:rPr>
            <w:noProof/>
            <w:webHidden/>
          </w:rPr>
          <w:fldChar w:fldCharType="separate"/>
        </w:r>
        <w:r w:rsidR="00B22FF4">
          <w:rPr>
            <w:noProof/>
            <w:webHidden/>
          </w:rPr>
          <w:t>98</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83"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_Toc244499383 \h </w:instrText>
        </w:r>
        <w:r>
          <w:rPr>
            <w:noProof/>
            <w:webHidden/>
          </w:rPr>
        </w:r>
        <w:r>
          <w:rPr>
            <w:noProof/>
            <w:webHidden/>
          </w:rPr>
          <w:fldChar w:fldCharType="separate"/>
        </w:r>
        <w:r w:rsidR="00B22FF4">
          <w:rPr>
            <w:noProof/>
            <w:webHidden/>
          </w:rPr>
          <w:t>98</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84"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_Toc244499384 \h </w:instrText>
        </w:r>
        <w:r>
          <w:rPr>
            <w:noProof/>
            <w:webHidden/>
          </w:rPr>
        </w:r>
        <w:r>
          <w:rPr>
            <w:noProof/>
            <w:webHidden/>
          </w:rPr>
          <w:fldChar w:fldCharType="separate"/>
        </w:r>
        <w:r w:rsidR="00B22FF4">
          <w:rPr>
            <w:noProof/>
            <w:webHidden/>
          </w:rPr>
          <w:t>99</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385"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Issues Pertaining only to Met Ed and Penelec</w:t>
        </w:r>
        <w:r w:rsidR="00FA5005">
          <w:rPr>
            <w:noProof/>
            <w:webHidden/>
          </w:rPr>
          <w:tab/>
        </w:r>
        <w:r>
          <w:rPr>
            <w:noProof/>
            <w:webHidden/>
          </w:rPr>
          <w:fldChar w:fldCharType="begin"/>
        </w:r>
        <w:r w:rsidR="00FA5005">
          <w:rPr>
            <w:noProof/>
            <w:webHidden/>
          </w:rPr>
          <w:instrText xml:space="preserve"> PAGEREF _Toc244499385 \h </w:instrText>
        </w:r>
        <w:r>
          <w:rPr>
            <w:noProof/>
            <w:webHidden/>
          </w:rPr>
        </w:r>
        <w:r>
          <w:rPr>
            <w:noProof/>
            <w:webHidden/>
          </w:rPr>
          <w:fldChar w:fldCharType="separate"/>
        </w:r>
        <w:r w:rsidR="00B22FF4">
          <w:rPr>
            <w:noProof/>
            <w:webHidden/>
          </w:rPr>
          <w:t>100</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86" w:history="1">
        <w:r w:rsidR="00FA5005" w:rsidRPr="00324A09">
          <w:rPr>
            <w:rStyle w:val="Hyperlink"/>
            <w:noProof/>
          </w:rPr>
          <w:t>a.</w:t>
        </w:r>
        <w:r w:rsidR="00FA5005">
          <w:rPr>
            <w:rFonts w:asciiTheme="minorHAnsi" w:eastAsiaTheme="minorEastAsia" w:hAnsiTheme="minorHAnsi" w:cstheme="minorBidi"/>
            <w:noProof/>
            <w:sz w:val="22"/>
            <w:szCs w:val="22"/>
          </w:rPr>
          <w:tab/>
        </w:r>
        <w:r w:rsidR="00FA5005" w:rsidRPr="00324A09">
          <w:rPr>
            <w:rStyle w:val="Hyperlink"/>
            <w:noProof/>
          </w:rPr>
          <w:t>Met Ed and Penelec as Curtailment Service Providers</w:t>
        </w:r>
        <w:r w:rsidR="00FA5005">
          <w:rPr>
            <w:noProof/>
            <w:webHidden/>
          </w:rPr>
          <w:tab/>
        </w:r>
        <w:r>
          <w:rPr>
            <w:noProof/>
            <w:webHidden/>
          </w:rPr>
          <w:fldChar w:fldCharType="begin"/>
        </w:r>
        <w:r w:rsidR="00FA5005">
          <w:rPr>
            <w:noProof/>
            <w:webHidden/>
          </w:rPr>
          <w:instrText xml:space="preserve"> PAGEREF _Toc244499386 \h </w:instrText>
        </w:r>
        <w:r>
          <w:rPr>
            <w:noProof/>
            <w:webHidden/>
          </w:rPr>
        </w:r>
        <w:r>
          <w:rPr>
            <w:noProof/>
            <w:webHidden/>
          </w:rPr>
          <w:fldChar w:fldCharType="separate"/>
        </w:r>
        <w:r w:rsidR="00B22FF4">
          <w:rPr>
            <w:noProof/>
            <w:webHidden/>
          </w:rPr>
          <w:t>100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87"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_Toc244499387 \h </w:instrText>
        </w:r>
        <w:r>
          <w:rPr>
            <w:noProof/>
            <w:webHidden/>
          </w:rPr>
        </w:r>
        <w:r>
          <w:rPr>
            <w:noProof/>
            <w:webHidden/>
          </w:rPr>
          <w:fldChar w:fldCharType="separate"/>
        </w:r>
        <w:r w:rsidR="00B22FF4">
          <w:rPr>
            <w:noProof/>
            <w:webHidden/>
          </w:rPr>
          <w:t>100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88"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_Toc244499388 \h </w:instrText>
        </w:r>
        <w:r>
          <w:rPr>
            <w:noProof/>
            <w:webHidden/>
          </w:rPr>
        </w:r>
        <w:r>
          <w:rPr>
            <w:noProof/>
            <w:webHidden/>
          </w:rPr>
          <w:fldChar w:fldCharType="separate"/>
        </w:r>
        <w:r w:rsidR="00B22FF4">
          <w:rPr>
            <w:noProof/>
            <w:webHidden/>
          </w:rPr>
          <w:t>102</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89" w:history="1">
        <w:r w:rsidR="00FA5005" w:rsidRPr="00324A09">
          <w:rPr>
            <w:rStyle w:val="Hyperlink"/>
            <w:noProof/>
          </w:rPr>
          <w:t>b.</w:t>
        </w:r>
        <w:r w:rsidR="00FA5005">
          <w:rPr>
            <w:rFonts w:asciiTheme="minorHAnsi" w:eastAsiaTheme="minorEastAsia" w:hAnsiTheme="minorHAnsi" w:cstheme="minorBidi"/>
            <w:noProof/>
            <w:sz w:val="22"/>
            <w:szCs w:val="22"/>
          </w:rPr>
          <w:tab/>
        </w:r>
        <w:r w:rsidR="00FA5005" w:rsidRPr="00324A09">
          <w:rPr>
            <w:rStyle w:val="Hyperlink"/>
            <w:noProof/>
          </w:rPr>
          <w:t>Caps on the Amount of Demand Reduction that can be Provided by a Single Curtailment Service Provider</w:t>
        </w:r>
        <w:r w:rsidR="00FA5005">
          <w:rPr>
            <w:noProof/>
            <w:webHidden/>
          </w:rPr>
          <w:tab/>
        </w:r>
        <w:r>
          <w:rPr>
            <w:noProof/>
            <w:webHidden/>
          </w:rPr>
          <w:fldChar w:fldCharType="begin"/>
        </w:r>
        <w:r w:rsidR="00FA5005">
          <w:rPr>
            <w:noProof/>
            <w:webHidden/>
          </w:rPr>
          <w:instrText xml:space="preserve"> PAGEREF _Toc244499389 \h </w:instrText>
        </w:r>
        <w:r>
          <w:rPr>
            <w:noProof/>
            <w:webHidden/>
          </w:rPr>
        </w:r>
        <w:r>
          <w:rPr>
            <w:noProof/>
            <w:webHidden/>
          </w:rPr>
          <w:fldChar w:fldCharType="separate"/>
        </w:r>
        <w:r w:rsidR="00B22FF4">
          <w:rPr>
            <w:noProof/>
            <w:webHidden/>
          </w:rPr>
          <w:t>103</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90"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_Toc244499390 \h </w:instrText>
        </w:r>
        <w:r>
          <w:rPr>
            <w:noProof/>
            <w:webHidden/>
          </w:rPr>
        </w:r>
        <w:r>
          <w:rPr>
            <w:noProof/>
            <w:webHidden/>
          </w:rPr>
          <w:fldChar w:fldCharType="separate"/>
        </w:r>
        <w:r w:rsidR="00B22FF4">
          <w:rPr>
            <w:noProof/>
            <w:webHidden/>
          </w:rPr>
          <w:t>103</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91"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_Toc244499391 \h </w:instrText>
        </w:r>
        <w:r>
          <w:rPr>
            <w:noProof/>
            <w:webHidden/>
          </w:rPr>
        </w:r>
        <w:r>
          <w:rPr>
            <w:noProof/>
            <w:webHidden/>
          </w:rPr>
          <w:fldChar w:fldCharType="separate"/>
        </w:r>
        <w:r w:rsidR="00B22FF4">
          <w:rPr>
            <w:noProof/>
            <w:webHidden/>
          </w:rPr>
          <w:t>104</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92" w:history="1">
        <w:r w:rsidR="00FA5005" w:rsidRPr="00324A09">
          <w:rPr>
            <w:rStyle w:val="Hyperlink"/>
            <w:noProof/>
          </w:rPr>
          <w:t>c.</w:t>
        </w:r>
        <w:r w:rsidR="00FA5005">
          <w:rPr>
            <w:rFonts w:asciiTheme="minorHAnsi" w:eastAsiaTheme="minorEastAsia" w:hAnsiTheme="minorHAnsi" w:cstheme="minorBidi"/>
            <w:noProof/>
            <w:sz w:val="22"/>
            <w:szCs w:val="22"/>
          </w:rPr>
          <w:tab/>
        </w:r>
        <w:r w:rsidR="00FA5005" w:rsidRPr="00324A09">
          <w:rPr>
            <w:rStyle w:val="Hyperlink"/>
            <w:noProof/>
          </w:rPr>
          <w:t>The “First Come First Served” Approach</w:t>
        </w:r>
        <w:r w:rsidR="00FA5005">
          <w:rPr>
            <w:noProof/>
            <w:webHidden/>
          </w:rPr>
          <w:tab/>
        </w:r>
        <w:r>
          <w:rPr>
            <w:noProof/>
            <w:webHidden/>
          </w:rPr>
          <w:fldChar w:fldCharType="begin"/>
        </w:r>
        <w:r w:rsidR="00FA5005">
          <w:rPr>
            <w:noProof/>
            <w:webHidden/>
          </w:rPr>
          <w:instrText xml:space="preserve"> PAGEREF _Toc244499392 \h </w:instrText>
        </w:r>
        <w:r>
          <w:rPr>
            <w:noProof/>
            <w:webHidden/>
          </w:rPr>
        </w:r>
        <w:r>
          <w:rPr>
            <w:noProof/>
            <w:webHidden/>
          </w:rPr>
          <w:fldChar w:fldCharType="separate"/>
        </w:r>
        <w:r w:rsidR="00B22FF4">
          <w:rPr>
            <w:noProof/>
            <w:webHidden/>
          </w:rPr>
          <w:t>105</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93"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_Toc244499393 \h </w:instrText>
        </w:r>
        <w:r>
          <w:rPr>
            <w:noProof/>
            <w:webHidden/>
          </w:rPr>
        </w:r>
        <w:r>
          <w:rPr>
            <w:noProof/>
            <w:webHidden/>
          </w:rPr>
          <w:fldChar w:fldCharType="separate"/>
        </w:r>
        <w:r w:rsidR="00B22FF4">
          <w:rPr>
            <w:noProof/>
            <w:webHidden/>
          </w:rPr>
          <w:t>105</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94"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_Toc244499394 \h </w:instrText>
        </w:r>
        <w:r>
          <w:rPr>
            <w:noProof/>
            <w:webHidden/>
          </w:rPr>
        </w:r>
        <w:r>
          <w:rPr>
            <w:noProof/>
            <w:webHidden/>
          </w:rPr>
          <w:fldChar w:fldCharType="separate"/>
        </w:r>
        <w:r w:rsidR="00B22FF4">
          <w:rPr>
            <w:noProof/>
            <w:webHidden/>
          </w:rPr>
          <w:t>106</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95" w:history="1">
        <w:r w:rsidR="00FA5005" w:rsidRPr="00324A09">
          <w:rPr>
            <w:rStyle w:val="Hyperlink"/>
            <w:noProof/>
          </w:rPr>
          <w:t>d.</w:t>
        </w:r>
        <w:r w:rsidR="00FA5005">
          <w:rPr>
            <w:rFonts w:asciiTheme="minorHAnsi" w:eastAsiaTheme="minorEastAsia" w:hAnsiTheme="minorHAnsi" w:cstheme="minorBidi"/>
            <w:noProof/>
            <w:sz w:val="22"/>
            <w:szCs w:val="22"/>
          </w:rPr>
          <w:tab/>
        </w:r>
        <w:r w:rsidR="00FA5005" w:rsidRPr="00324A09">
          <w:rPr>
            <w:rStyle w:val="Hyperlink"/>
            <w:noProof/>
          </w:rPr>
          <w:t>Increasing the Incentives in the Demand Response Program to Obtain Expected Participation Levels</w:t>
        </w:r>
        <w:r w:rsidR="00FA5005">
          <w:rPr>
            <w:noProof/>
            <w:webHidden/>
          </w:rPr>
          <w:tab/>
        </w:r>
        <w:r>
          <w:rPr>
            <w:noProof/>
            <w:webHidden/>
          </w:rPr>
          <w:fldChar w:fldCharType="begin"/>
        </w:r>
        <w:r w:rsidR="00FA5005">
          <w:rPr>
            <w:noProof/>
            <w:webHidden/>
          </w:rPr>
          <w:instrText xml:space="preserve"> PAGEREF _Toc244499395 \h </w:instrText>
        </w:r>
        <w:r>
          <w:rPr>
            <w:noProof/>
            <w:webHidden/>
          </w:rPr>
        </w:r>
        <w:r>
          <w:rPr>
            <w:noProof/>
            <w:webHidden/>
          </w:rPr>
          <w:fldChar w:fldCharType="separate"/>
        </w:r>
        <w:r w:rsidR="00B22FF4">
          <w:rPr>
            <w:noProof/>
            <w:webHidden/>
          </w:rPr>
          <w:t>107</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96"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_Toc244499396 \h </w:instrText>
        </w:r>
        <w:r>
          <w:rPr>
            <w:noProof/>
            <w:webHidden/>
          </w:rPr>
        </w:r>
        <w:r>
          <w:rPr>
            <w:noProof/>
            <w:webHidden/>
          </w:rPr>
          <w:fldChar w:fldCharType="separate"/>
        </w:r>
        <w:r w:rsidR="00B22FF4">
          <w:rPr>
            <w:noProof/>
            <w:webHidden/>
          </w:rPr>
          <w:t>107</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97"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_Toc244499397 \h </w:instrText>
        </w:r>
        <w:r>
          <w:rPr>
            <w:noProof/>
            <w:webHidden/>
          </w:rPr>
        </w:r>
        <w:r>
          <w:rPr>
            <w:noProof/>
            <w:webHidden/>
          </w:rPr>
          <w:fldChar w:fldCharType="separate"/>
        </w:r>
        <w:r w:rsidR="00B22FF4">
          <w:rPr>
            <w:noProof/>
            <w:webHidden/>
          </w:rPr>
          <w:t>107</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398" w:history="1">
        <w:r w:rsidR="00FA5005" w:rsidRPr="00324A09">
          <w:rPr>
            <w:rStyle w:val="Hyperlink"/>
            <w:noProof/>
          </w:rPr>
          <w:t>e.</w:t>
        </w:r>
        <w:r w:rsidR="00FA5005">
          <w:rPr>
            <w:rFonts w:asciiTheme="minorHAnsi" w:eastAsiaTheme="minorEastAsia" w:hAnsiTheme="minorHAnsi" w:cstheme="minorBidi"/>
            <w:noProof/>
            <w:sz w:val="22"/>
            <w:szCs w:val="22"/>
          </w:rPr>
          <w:tab/>
        </w:r>
        <w:r w:rsidR="00FA5005" w:rsidRPr="00324A09">
          <w:rPr>
            <w:rStyle w:val="Hyperlink"/>
            <w:noProof/>
          </w:rPr>
          <w:t>Marketing the Demand Response Program</w:t>
        </w:r>
        <w:r w:rsidR="00FA5005">
          <w:rPr>
            <w:noProof/>
            <w:webHidden/>
          </w:rPr>
          <w:tab/>
        </w:r>
        <w:r>
          <w:rPr>
            <w:noProof/>
            <w:webHidden/>
          </w:rPr>
          <w:fldChar w:fldCharType="begin"/>
        </w:r>
        <w:r w:rsidR="00FA5005">
          <w:rPr>
            <w:noProof/>
            <w:webHidden/>
          </w:rPr>
          <w:instrText xml:space="preserve"> PAGEREF _Toc244499398 \h </w:instrText>
        </w:r>
        <w:r>
          <w:rPr>
            <w:noProof/>
            <w:webHidden/>
          </w:rPr>
        </w:r>
        <w:r>
          <w:rPr>
            <w:noProof/>
            <w:webHidden/>
          </w:rPr>
          <w:fldChar w:fldCharType="separate"/>
        </w:r>
        <w:r w:rsidR="00B22FF4">
          <w:rPr>
            <w:noProof/>
            <w:webHidden/>
          </w:rPr>
          <w:t>108</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399"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_Toc244499399 \h </w:instrText>
        </w:r>
        <w:r>
          <w:rPr>
            <w:noProof/>
            <w:webHidden/>
          </w:rPr>
        </w:r>
        <w:r>
          <w:rPr>
            <w:noProof/>
            <w:webHidden/>
          </w:rPr>
          <w:fldChar w:fldCharType="separate"/>
        </w:r>
        <w:r w:rsidR="00B22FF4">
          <w:rPr>
            <w:noProof/>
            <w:webHidden/>
          </w:rPr>
          <w:t>108</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400"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_Toc244499400 \h </w:instrText>
        </w:r>
        <w:r>
          <w:rPr>
            <w:noProof/>
            <w:webHidden/>
          </w:rPr>
        </w:r>
        <w:r>
          <w:rPr>
            <w:noProof/>
            <w:webHidden/>
          </w:rPr>
          <w:fldChar w:fldCharType="separate"/>
        </w:r>
        <w:r w:rsidR="00B22FF4">
          <w:rPr>
            <w:noProof/>
            <w:webHidden/>
          </w:rPr>
          <w:t>109</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01" w:history="1">
        <w:r w:rsidR="00FA5005" w:rsidRPr="00324A09">
          <w:rPr>
            <w:rStyle w:val="Hyperlink"/>
            <w:noProof/>
          </w:rPr>
          <w:t>f.</w:t>
        </w:r>
        <w:r w:rsidR="00FA5005">
          <w:rPr>
            <w:rFonts w:asciiTheme="minorHAnsi" w:eastAsiaTheme="minorEastAsia" w:hAnsiTheme="minorHAnsi" w:cstheme="minorBidi"/>
            <w:noProof/>
            <w:sz w:val="22"/>
            <w:szCs w:val="22"/>
          </w:rPr>
          <w:tab/>
        </w:r>
        <w:r w:rsidR="00FA5005" w:rsidRPr="00324A09">
          <w:rPr>
            <w:rStyle w:val="Hyperlink"/>
            <w:noProof/>
          </w:rPr>
          <w:t>Credit Requirements</w:t>
        </w:r>
        <w:r w:rsidR="00FA5005">
          <w:rPr>
            <w:noProof/>
            <w:webHidden/>
          </w:rPr>
          <w:tab/>
        </w:r>
        <w:r>
          <w:rPr>
            <w:noProof/>
            <w:webHidden/>
          </w:rPr>
          <w:fldChar w:fldCharType="begin"/>
        </w:r>
        <w:r w:rsidR="00FA5005">
          <w:rPr>
            <w:noProof/>
            <w:webHidden/>
          </w:rPr>
          <w:instrText xml:space="preserve"> PAGEREF _Toc244499401 \h </w:instrText>
        </w:r>
        <w:r>
          <w:rPr>
            <w:noProof/>
            <w:webHidden/>
          </w:rPr>
        </w:r>
        <w:r>
          <w:rPr>
            <w:noProof/>
            <w:webHidden/>
          </w:rPr>
          <w:fldChar w:fldCharType="separate"/>
        </w:r>
        <w:r w:rsidR="00B22FF4">
          <w:rPr>
            <w:noProof/>
            <w:webHidden/>
          </w:rPr>
          <w:t>110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402"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_Toc244499402 \h </w:instrText>
        </w:r>
        <w:r>
          <w:rPr>
            <w:noProof/>
            <w:webHidden/>
          </w:rPr>
        </w:r>
        <w:r>
          <w:rPr>
            <w:noProof/>
            <w:webHidden/>
          </w:rPr>
          <w:fldChar w:fldCharType="separate"/>
        </w:r>
        <w:r w:rsidR="00B22FF4">
          <w:rPr>
            <w:noProof/>
            <w:webHidden/>
          </w:rPr>
          <w:t>110</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403"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_Toc244499403 \h </w:instrText>
        </w:r>
        <w:r>
          <w:rPr>
            <w:noProof/>
            <w:webHidden/>
          </w:rPr>
        </w:r>
        <w:r>
          <w:rPr>
            <w:noProof/>
            <w:webHidden/>
          </w:rPr>
          <w:fldChar w:fldCharType="separate"/>
        </w:r>
        <w:r w:rsidR="00B22FF4">
          <w:rPr>
            <w:noProof/>
            <w:webHidden/>
          </w:rPr>
          <w:t>111</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04" w:history="1">
        <w:r w:rsidR="00FA5005" w:rsidRPr="00324A09">
          <w:rPr>
            <w:rStyle w:val="Hyperlink"/>
            <w:noProof/>
          </w:rPr>
          <w:t>g.</w:t>
        </w:r>
        <w:r w:rsidR="00FA5005">
          <w:rPr>
            <w:rFonts w:asciiTheme="minorHAnsi" w:eastAsiaTheme="minorEastAsia" w:hAnsiTheme="minorHAnsi" w:cstheme="minorBidi"/>
            <w:noProof/>
            <w:sz w:val="22"/>
            <w:szCs w:val="22"/>
          </w:rPr>
          <w:tab/>
        </w:r>
        <w:r w:rsidR="00FA5005" w:rsidRPr="00324A09">
          <w:rPr>
            <w:rStyle w:val="Hyperlink"/>
            <w:noProof/>
          </w:rPr>
          <w:t>Quota for Disadvantaged Businesses</w:t>
        </w:r>
        <w:r w:rsidR="00FA5005">
          <w:rPr>
            <w:noProof/>
            <w:webHidden/>
          </w:rPr>
          <w:tab/>
        </w:r>
        <w:r>
          <w:rPr>
            <w:noProof/>
            <w:webHidden/>
          </w:rPr>
          <w:fldChar w:fldCharType="begin"/>
        </w:r>
        <w:r w:rsidR="00FA5005">
          <w:rPr>
            <w:noProof/>
            <w:webHidden/>
          </w:rPr>
          <w:instrText xml:space="preserve"> PAGEREF _Toc244499404 \h </w:instrText>
        </w:r>
        <w:r>
          <w:rPr>
            <w:noProof/>
            <w:webHidden/>
          </w:rPr>
        </w:r>
        <w:r>
          <w:rPr>
            <w:noProof/>
            <w:webHidden/>
          </w:rPr>
          <w:fldChar w:fldCharType="separate"/>
        </w:r>
        <w:r w:rsidR="00B22FF4">
          <w:rPr>
            <w:noProof/>
            <w:webHidden/>
          </w:rPr>
          <w:t>112</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405"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_Toc244499405 \h </w:instrText>
        </w:r>
        <w:r>
          <w:rPr>
            <w:noProof/>
            <w:webHidden/>
          </w:rPr>
        </w:r>
        <w:r>
          <w:rPr>
            <w:noProof/>
            <w:webHidden/>
          </w:rPr>
          <w:fldChar w:fldCharType="separate"/>
        </w:r>
        <w:r w:rsidR="00B22FF4">
          <w:rPr>
            <w:noProof/>
            <w:webHidden/>
          </w:rPr>
          <w:t>112</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406"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_Toc244499406 \h </w:instrText>
        </w:r>
        <w:r>
          <w:rPr>
            <w:noProof/>
            <w:webHidden/>
          </w:rPr>
        </w:r>
        <w:r>
          <w:rPr>
            <w:noProof/>
            <w:webHidden/>
          </w:rPr>
          <w:fldChar w:fldCharType="separate"/>
        </w:r>
        <w:r w:rsidR="00B22FF4">
          <w:rPr>
            <w:noProof/>
            <w:webHidden/>
          </w:rPr>
          <w:t>113</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407" w:history="1">
        <w:r w:rsidR="00FA5005" w:rsidRPr="00324A09">
          <w:rPr>
            <w:rStyle w:val="Hyperlink"/>
            <w:noProof/>
          </w:rPr>
          <w:t xml:space="preserve">3. </w:t>
        </w:r>
        <w:r w:rsidR="00FA5005">
          <w:rPr>
            <w:rFonts w:asciiTheme="minorHAnsi" w:eastAsiaTheme="minorEastAsia" w:hAnsiTheme="minorHAnsi" w:cstheme="minorBidi"/>
            <w:noProof/>
            <w:sz w:val="22"/>
            <w:szCs w:val="22"/>
          </w:rPr>
          <w:tab/>
        </w:r>
        <w:r w:rsidR="00FA5005" w:rsidRPr="00324A09">
          <w:rPr>
            <w:rStyle w:val="Hyperlink"/>
            <w:noProof/>
          </w:rPr>
          <w:t>Issues Pertaining only to Penn Power</w:t>
        </w:r>
        <w:r w:rsidR="00FA5005">
          <w:rPr>
            <w:noProof/>
            <w:webHidden/>
          </w:rPr>
          <w:tab/>
        </w:r>
        <w:r>
          <w:rPr>
            <w:noProof/>
            <w:webHidden/>
          </w:rPr>
          <w:fldChar w:fldCharType="begin"/>
        </w:r>
        <w:r w:rsidR="00FA5005">
          <w:rPr>
            <w:noProof/>
            <w:webHidden/>
          </w:rPr>
          <w:instrText xml:space="preserve"> PAGEREF _Toc244499407 \h </w:instrText>
        </w:r>
        <w:r>
          <w:rPr>
            <w:noProof/>
            <w:webHidden/>
          </w:rPr>
        </w:r>
        <w:r>
          <w:rPr>
            <w:noProof/>
            <w:webHidden/>
          </w:rPr>
          <w:fldChar w:fldCharType="separate"/>
        </w:r>
        <w:r w:rsidR="00B22FF4">
          <w:rPr>
            <w:noProof/>
            <w:webHidden/>
          </w:rPr>
          <w:t>114</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08" w:history="1">
        <w:r w:rsidR="00FA5005" w:rsidRPr="00324A09">
          <w:rPr>
            <w:rStyle w:val="Hyperlink"/>
            <w:noProof/>
          </w:rPr>
          <w:t>a.</w:t>
        </w:r>
        <w:r w:rsidR="00FA5005">
          <w:rPr>
            <w:rFonts w:asciiTheme="minorHAnsi" w:eastAsiaTheme="minorEastAsia" w:hAnsiTheme="minorHAnsi" w:cstheme="minorBidi"/>
            <w:noProof/>
            <w:sz w:val="22"/>
            <w:szCs w:val="22"/>
          </w:rPr>
          <w:tab/>
        </w:r>
        <w:r w:rsidR="00FA5005" w:rsidRPr="00324A09">
          <w:rPr>
            <w:rStyle w:val="Hyperlink"/>
            <w:noProof/>
          </w:rPr>
          <w:t>Penn Power’s Proposal to Use Electricity Generation Suppliers</w:t>
        </w:r>
        <w:r w:rsidR="00FA5005">
          <w:rPr>
            <w:noProof/>
            <w:webHidden/>
          </w:rPr>
          <w:tab/>
        </w:r>
        <w:r>
          <w:rPr>
            <w:noProof/>
            <w:webHidden/>
          </w:rPr>
          <w:fldChar w:fldCharType="begin"/>
        </w:r>
        <w:r w:rsidR="00FA5005">
          <w:rPr>
            <w:noProof/>
            <w:webHidden/>
          </w:rPr>
          <w:instrText xml:space="preserve"> PAGEREF _Toc244499408 \h </w:instrText>
        </w:r>
        <w:r>
          <w:rPr>
            <w:noProof/>
            <w:webHidden/>
          </w:rPr>
        </w:r>
        <w:r>
          <w:rPr>
            <w:noProof/>
            <w:webHidden/>
          </w:rPr>
          <w:fldChar w:fldCharType="separate"/>
        </w:r>
        <w:r w:rsidR="00B22FF4">
          <w:rPr>
            <w:noProof/>
            <w:webHidden/>
          </w:rPr>
          <w:t>114</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409" w:history="1">
        <w:r w:rsidR="00FA5005" w:rsidRPr="00324A09">
          <w:rPr>
            <w:rStyle w:val="Hyperlink"/>
            <w:noProof/>
          </w:rPr>
          <w:t>(1)</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_Toc244499409 \h </w:instrText>
        </w:r>
        <w:r>
          <w:rPr>
            <w:noProof/>
            <w:webHidden/>
          </w:rPr>
        </w:r>
        <w:r>
          <w:rPr>
            <w:noProof/>
            <w:webHidden/>
          </w:rPr>
          <w:fldChar w:fldCharType="separate"/>
        </w:r>
        <w:r w:rsidR="00B22FF4">
          <w:rPr>
            <w:noProof/>
            <w:webHidden/>
          </w:rPr>
          <w:t>114</w:t>
        </w:r>
        <w:r>
          <w:rPr>
            <w:noProof/>
            <w:webHidden/>
          </w:rPr>
          <w:fldChar w:fldCharType="end"/>
        </w:r>
      </w:hyperlink>
    </w:p>
    <w:p w:rsidR="00FA5005" w:rsidRDefault="00E02171">
      <w:pPr>
        <w:pStyle w:val="TOC5"/>
        <w:rPr>
          <w:rFonts w:asciiTheme="minorHAnsi" w:eastAsiaTheme="minorEastAsia" w:hAnsiTheme="minorHAnsi" w:cstheme="minorBidi"/>
          <w:noProof/>
          <w:sz w:val="22"/>
          <w:szCs w:val="22"/>
        </w:rPr>
      </w:pPr>
      <w:hyperlink w:anchor="_Toc244499410" w:history="1">
        <w:r w:rsidR="00FA5005" w:rsidRPr="00324A09">
          <w:rPr>
            <w:rStyle w:val="Hyperlink"/>
            <w:noProof/>
          </w:rPr>
          <w:t>(2)</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_Toc244499410 \h </w:instrText>
        </w:r>
        <w:r>
          <w:rPr>
            <w:noProof/>
            <w:webHidden/>
          </w:rPr>
        </w:r>
        <w:r>
          <w:rPr>
            <w:noProof/>
            <w:webHidden/>
          </w:rPr>
          <w:fldChar w:fldCharType="separate"/>
        </w:r>
        <w:r w:rsidR="00B22FF4">
          <w:rPr>
            <w:noProof/>
            <w:webHidden/>
          </w:rPr>
          <w:t>114</w:t>
        </w:r>
        <w:r>
          <w:rPr>
            <w:noProof/>
            <w:webHidden/>
          </w:rPr>
          <w:fldChar w:fldCharType="end"/>
        </w:r>
      </w:hyperlink>
    </w:p>
    <w:p w:rsidR="00FA5005" w:rsidRDefault="00E02171">
      <w:pPr>
        <w:pStyle w:val="TOC2"/>
        <w:rPr>
          <w:rFonts w:asciiTheme="minorHAnsi" w:eastAsiaTheme="minorEastAsia" w:hAnsiTheme="minorHAnsi" w:cstheme="minorBidi"/>
          <w:noProof/>
          <w:sz w:val="22"/>
          <w:szCs w:val="22"/>
        </w:rPr>
      </w:pPr>
      <w:hyperlink w:anchor="_Toc244499411" w:history="1">
        <w:r w:rsidR="00FA5005" w:rsidRPr="00324A09">
          <w:rPr>
            <w:rStyle w:val="Hyperlink"/>
            <w:noProof/>
          </w:rPr>
          <w:t xml:space="preserve">D.  </w:t>
        </w:r>
        <w:r w:rsidR="00FA5005">
          <w:rPr>
            <w:rFonts w:asciiTheme="minorHAnsi" w:eastAsiaTheme="minorEastAsia" w:hAnsiTheme="minorHAnsi" w:cstheme="minorBidi"/>
            <w:noProof/>
            <w:sz w:val="22"/>
            <w:szCs w:val="22"/>
          </w:rPr>
          <w:tab/>
        </w:r>
        <w:r w:rsidR="00FA5005" w:rsidRPr="00324A09">
          <w:rPr>
            <w:rStyle w:val="Hyperlink"/>
            <w:noProof/>
          </w:rPr>
          <w:t>Implementation and Evaluation Issues</w:t>
        </w:r>
        <w:r w:rsidR="00FA5005">
          <w:rPr>
            <w:noProof/>
            <w:webHidden/>
          </w:rPr>
          <w:tab/>
        </w:r>
        <w:r>
          <w:rPr>
            <w:noProof/>
            <w:webHidden/>
          </w:rPr>
          <w:fldChar w:fldCharType="begin"/>
        </w:r>
        <w:r w:rsidR="00FA5005">
          <w:rPr>
            <w:noProof/>
            <w:webHidden/>
          </w:rPr>
          <w:instrText xml:space="preserve"> PAGEREF _Toc244499411 \h </w:instrText>
        </w:r>
        <w:r>
          <w:rPr>
            <w:noProof/>
            <w:webHidden/>
          </w:rPr>
        </w:r>
        <w:r>
          <w:rPr>
            <w:noProof/>
            <w:webHidden/>
          </w:rPr>
          <w:fldChar w:fldCharType="separate"/>
        </w:r>
        <w:r w:rsidR="00B22FF4">
          <w:rPr>
            <w:noProof/>
            <w:webHidden/>
          </w:rPr>
          <w:t>115</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412"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Implementation Issues</w:t>
        </w:r>
        <w:r w:rsidR="00FA5005">
          <w:rPr>
            <w:noProof/>
            <w:webHidden/>
          </w:rPr>
          <w:tab/>
        </w:r>
        <w:r>
          <w:rPr>
            <w:noProof/>
            <w:webHidden/>
          </w:rPr>
          <w:fldChar w:fldCharType="begin"/>
        </w:r>
        <w:r w:rsidR="00FA5005">
          <w:rPr>
            <w:noProof/>
            <w:webHidden/>
          </w:rPr>
          <w:instrText xml:space="preserve"> PAGEREF _Toc244499412 \h </w:instrText>
        </w:r>
        <w:r>
          <w:rPr>
            <w:noProof/>
            <w:webHidden/>
          </w:rPr>
        </w:r>
        <w:r>
          <w:rPr>
            <w:noProof/>
            <w:webHidden/>
          </w:rPr>
          <w:fldChar w:fldCharType="separate"/>
        </w:r>
        <w:r w:rsidR="00B22FF4">
          <w:rPr>
            <w:noProof/>
            <w:webHidden/>
          </w:rPr>
          <w:t>115</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13"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_Toc244499413 \h </w:instrText>
        </w:r>
        <w:r>
          <w:rPr>
            <w:noProof/>
            <w:webHidden/>
          </w:rPr>
        </w:r>
        <w:r>
          <w:rPr>
            <w:noProof/>
            <w:webHidden/>
          </w:rPr>
          <w:fldChar w:fldCharType="separate"/>
        </w:r>
        <w:r w:rsidR="00B22FF4">
          <w:rPr>
            <w:noProof/>
            <w:webHidden/>
          </w:rPr>
          <w:t>115</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14"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_Toc244499414 \h </w:instrText>
        </w:r>
        <w:r>
          <w:rPr>
            <w:noProof/>
            <w:webHidden/>
          </w:rPr>
        </w:r>
        <w:r>
          <w:rPr>
            <w:noProof/>
            <w:webHidden/>
          </w:rPr>
          <w:fldChar w:fldCharType="separate"/>
        </w:r>
        <w:r w:rsidR="00B22FF4">
          <w:rPr>
            <w:noProof/>
            <w:webHidden/>
          </w:rPr>
          <w:t>116</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415" w:history="1">
        <w:r w:rsidR="00FA5005" w:rsidRPr="00324A09">
          <w:rPr>
            <w:rStyle w:val="Hyperlink"/>
            <w:noProof/>
          </w:rPr>
          <w:t xml:space="preserve">2.  </w:t>
        </w:r>
        <w:r w:rsidR="00FA5005">
          <w:rPr>
            <w:rFonts w:asciiTheme="minorHAnsi" w:eastAsiaTheme="minorEastAsia" w:hAnsiTheme="minorHAnsi" w:cstheme="minorBidi"/>
            <w:noProof/>
            <w:sz w:val="22"/>
            <w:szCs w:val="22"/>
          </w:rPr>
          <w:tab/>
        </w:r>
        <w:r w:rsidR="00FA5005" w:rsidRPr="00324A09">
          <w:rPr>
            <w:rStyle w:val="Hyperlink"/>
            <w:noProof/>
          </w:rPr>
          <w:t>Quality Assurance Issues</w:t>
        </w:r>
        <w:r w:rsidR="00FA5005">
          <w:rPr>
            <w:noProof/>
            <w:webHidden/>
          </w:rPr>
          <w:tab/>
        </w:r>
        <w:r>
          <w:rPr>
            <w:noProof/>
            <w:webHidden/>
          </w:rPr>
          <w:fldChar w:fldCharType="begin"/>
        </w:r>
        <w:r w:rsidR="00FA5005">
          <w:rPr>
            <w:noProof/>
            <w:webHidden/>
          </w:rPr>
          <w:instrText xml:space="preserve"> PAGEREF _Toc244499415 \h </w:instrText>
        </w:r>
        <w:r>
          <w:rPr>
            <w:noProof/>
            <w:webHidden/>
          </w:rPr>
        </w:r>
        <w:r>
          <w:rPr>
            <w:noProof/>
            <w:webHidden/>
          </w:rPr>
          <w:fldChar w:fldCharType="separate"/>
        </w:r>
        <w:r w:rsidR="00B22FF4">
          <w:rPr>
            <w:noProof/>
            <w:webHidden/>
          </w:rPr>
          <w:t>116</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16"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_Toc244499416 \h </w:instrText>
        </w:r>
        <w:r>
          <w:rPr>
            <w:noProof/>
            <w:webHidden/>
          </w:rPr>
        </w:r>
        <w:r>
          <w:rPr>
            <w:noProof/>
            <w:webHidden/>
          </w:rPr>
          <w:fldChar w:fldCharType="separate"/>
        </w:r>
        <w:r w:rsidR="00B22FF4">
          <w:rPr>
            <w:noProof/>
            <w:webHidden/>
          </w:rPr>
          <w:t>116</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17"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_Toc244499417 \h </w:instrText>
        </w:r>
        <w:r>
          <w:rPr>
            <w:noProof/>
            <w:webHidden/>
          </w:rPr>
        </w:r>
        <w:r>
          <w:rPr>
            <w:noProof/>
            <w:webHidden/>
          </w:rPr>
          <w:fldChar w:fldCharType="separate"/>
        </w:r>
        <w:r w:rsidR="00B22FF4">
          <w:rPr>
            <w:noProof/>
            <w:webHidden/>
          </w:rPr>
          <w:t>117</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418" w:history="1">
        <w:r w:rsidR="00FA5005" w:rsidRPr="00324A09">
          <w:rPr>
            <w:rStyle w:val="Hyperlink"/>
            <w:noProof/>
          </w:rPr>
          <w:t xml:space="preserve">3.  </w:t>
        </w:r>
        <w:r w:rsidR="00FA5005">
          <w:rPr>
            <w:rFonts w:asciiTheme="minorHAnsi" w:eastAsiaTheme="minorEastAsia" w:hAnsiTheme="minorHAnsi" w:cstheme="minorBidi"/>
            <w:noProof/>
            <w:sz w:val="22"/>
            <w:szCs w:val="22"/>
          </w:rPr>
          <w:tab/>
        </w:r>
        <w:r w:rsidR="00FA5005" w:rsidRPr="00324A09">
          <w:rPr>
            <w:rStyle w:val="Hyperlink"/>
            <w:noProof/>
          </w:rPr>
          <w:t>Monitoring and Reporting Issues</w:t>
        </w:r>
        <w:r w:rsidR="00FA5005">
          <w:rPr>
            <w:noProof/>
            <w:webHidden/>
          </w:rPr>
          <w:tab/>
        </w:r>
        <w:r>
          <w:rPr>
            <w:noProof/>
            <w:webHidden/>
          </w:rPr>
          <w:fldChar w:fldCharType="begin"/>
        </w:r>
        <w:r w:rsidR="00FA5005">
          <w:rPr>
            <w:noProof/>
            <w:webHidden/>
          </w:rPr>
          <w:instrText xml:space="preserve"> PAGEREF _Toc244499418 \h </w:instrText>
        </w:r>
        <w:r>
          <w:rPr>
            <w:noProof/>
            <w:webHidden/>
          </w:rPr>
        </w:r>
        <w:r>
          <w:rPr>
            <w:noProof/>
            <w:webHidden/>
          </w:rPr>
          <w:fldChar w:fldCharType="separate"/>
        </w:r>
        <w:r w:rsidR="00B22FF4">
          <w:rPr>
            <w:noProof/>
            <w:webHidden/>
          </w:rPr>
          <w:t>117</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19"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_Toc244499419 \h </w:instrText>
        </w:r>
        <w:r>
          <w:rPr>
            <w:noProof/>
            <w:webHidden/>
          </w:rPr>
        </w:r>
        <w:r>
          <w:rPr>
            <w:noProof/>
            <w:webHidden/>
          </w:rPr>
          <w:fldChar w:fldCharType="separate"/>
        </w:r>
        <w:r w:rsidR="00B22FF4">
          <w:rPr>
            <w:noProof/>
            <w:webHidden/>
          </w:rPr>
          <w:t>118</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20"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_Toc244499420 \h </w:instrText>
        </w:r>
        <w:r>
          <w:rPr>
            <w:noProof/>
            <w:webHidden/>
          </w:rPr>
        </w:r>
        <w:r>
          <w:rPr>
            <w:noProof/>
            <w:webHidden/>
          </w:rPr>
          <w:fldChar w:fldCharType="separate"/>
        </w:r>
        <w:r w:rsidR="00B22FF4">
          <w:rPr>
            <w:noProof/>
            <w:webHidden/>
          </w:rPr>
          <w:t>119</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421" w:history="1">
        <w:r w:rsidR="00FA5005" w:rsidRPr="00324A09">
          <w:rPr>
            <w:rStyle w:val="Hyperlink"/>
            <w:noProof/>
          </w:rPr>
          <w:t xml:space="preserve">4.  </w:t>
        </w:r>
        <w:r w:rsidR="00FA5005">
          <w:rPr>
            <w:rFonts w:asciiTheme="minorHAnsi" w:eastAsiaTheme="minorEastAsia" w:hAnsiTheme="minorHAnsi" w:cstheme="minorBidi"/>
            <w:noProof/>
            <w:sz w:val="22"/>
            <w:szCs w:val="22"/>
          </w:rPr>
          <w:tab/>
        </w:r>
        <w:r w:rsidR="00FA5005" w:rsidRPr="00324A09">
          <w:rPr>
            <w:rStyle w:val="Hyperlink"/>
            <w:noProof/>
          </w:rPr>
          <w:t>Evaluation Issues</w:t>
        </w:r>
        <w:r w:rsidR="00FA5005">
          <w:rPr>
            <w:noProof/>
            <w:webHidden/>
          </w:rPr>
          <w:tab/>
        </w:r>
        <w:r>
          <w:rPr>
            <w:noProof/>
            <w:webHidden/>
          </w:rPr>
          <w:fldChar w:fldCharType="begin"/>
        </w:r>
        <w:r w:rsidR="00FA5005">
          <w:rPr>
            <w:noProof/>
            <w:webHidden/>
          </w:rPr>
          <w:instrText xml:space="preserve"> PAGEREF _Toc244499421 \h </w:instrText>
        </w:r>
        <w:r>
          <w:rPr>
            <w:noProof/>
            <w:webHidden/>
          </w:rPr>
        </w:r>
        <w:r>
          <w:rPr>
            <w:noProof/>
            <w:webHidden/>
          </w:rPr>
          <w:fldChar w:fldCharType="separate"/>
        </w:r>
        <w:r w:rsidR="00B22FF4">
          <w:rPr>
            <w:noProof/>
            <w:webHidden/>
          </w:rPr>
          <w:t>121</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22" w:history="1">
        <w:r w:rsidR="00FA5005" w:rsidRPr="00324A09">
          <w:rPr>
            <w:rStyle w:val="Hyperlink"/>
            <w:noProof/>
          </w:rPr>
          <w:t xml:space="preserve">a.  </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_Toc244499422 \h </w:instrText>
        </w:r>
        <w:r>
          <w:rPr>
            <w:noProof/>
            <w:webHidden/>
          </w:rPr>
        </w:r>
        <w:r>
          <w:rPr>
            <w:noProof/>
            <w:webHidden/>
          </w:rPr>
          <w:fldChar w:fldCharType="separate"/>
        </w:r>
        <w:r w:rsidR="00B22FF4">
          <w:rPr>
            <w:noProof/>
            <w:webHidden/>
          </w:rPr>
          <w:t>122</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23"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_Toc244499423 \h </w:instrText>
        </w:r>
        <w:r>
          <w:rPr>
            <w:noProof/>
            <w:webHidden/>
          </w:rPr>
        </w:r>
        <w:r>
          <w:rPr>
            <w:noProof/>
            <w:webHidden/>
          </w:rPr>
          <w:fldChar w:fldCharType="separate"/>
        </w:r>
        <w:r w:rsidR="00B22FF4">
          <w:rPr>
            <w:noProof/>
            <w:webHidden/>
          </w:rPr>
          <w:t>123</w:t>
        </w:r>
        <w:r>
          <w:rPr>
            <w:noProof/>
            <w:webHidden/>
          </w:rPr>
          <w:fldChar w:fldCharType="end"/>
        </w:r>
      </w:hyperlink>
    </w:p>
    <w:p w:rsidR="00FA5005" w:rsidRDefault="00E02171">
      <w:pPr>
        <w:pStyle w:val="TOC2"/>
        <w:rPr>
          <w:rFonts w:asciiTheme="minorHAnsi" w:eastAsiaTheme="minorEastAsia" w:hAnsiTheme="minorHAnsi" w:cstheme="minorBidi"/>
          <w:noProof/>
          <w:sz w:val="22"/>
          <w:szCs w:val="22"/>
        </w:rPr>
      </w:pPr>
      <w:hyperlink w:anchor="_Toc244499424" w:history="1">
        <w:r w:rsidR="00FA5005" w:rsidRPr="00324A09">
          <w:rPr>
            <w:rStyle w:val="Hyperlink"/>
            <w:noProof/>
          </w:rPr>
          <w:t xml:space="preserve">E.  </w:t>
        </w:r>
        <w:r w:rsidR="00FA5005">
          <w:rPr>
            <w:rFonts w:asciiTheme="minorHAnsi" w:eastAsiaTheme="minorEastAsia" w:hAnsiTheme="minorHAnsi" w:cstheme="minorBidi"/>
            <w:noProof/>
            <w:sz w:val="22"/>
            <w:szCs w:val="22"/>
          </w:rPr>
          <w:tab/>
        </w:r>
        <w:r w:rsidR="00FA5005" w:rsidRPr="00324A09">
          <w:rPr>
            <w:rStyle w:val="Hyperlink"/>
            <w:noProof/>
          </w:rPr>
          <w:t>Other Issues</w:t>
        </w:r>
        <w:r w:rsidR="00FA5005">
          <w:rPr>
            <w:noProof/>
            <w:webHidden/>
          </w:rPr>
          <w:tab/>
        </w:r>
        <w:r>
          <w:rPr>
            <w:noProof/>
            <w:webHidden/>
          </w:rPr>
          <w:fldChar w:fldCharType="begin"/>
        </w:r>
        <w:r w:rsidR="00FA5005">
          <w:rPr>
            <w:noProof/>
            <w:webHidden/>
          </w:rPr>
          <w:instrText xml:space="preserve"> PAGEREF _Toc244499424 \h </w:instrText>
        </w:r>
        <w:r>
          <w:rPr>
            <w:noProof/>
            <w:webHidden/>
          </w:rPr>
        </w:r>
        <w:r>
          <w:rPr>
            <w:noProof/>
            <w:webHidden/>
          </w:rPr>
          <w:fldChar w:fldCharType="separate"/>
        </w:r>
        <w:r w:rsidR="00B22FF4">
          <w:rPr>
            <w:noProof/>
            <w:webHidden/>
          </w:rPr>
          <w:t>125</w:t>
        </w:r>
        <w:r>
          <w:rPr>
            <w:noProof/>
            <w:webHidden/>
          </w:rPr>
          <w:fldChar w:fldCharType="end"/>
        </w:r>
      </w:hyperlink>
    </w:p>
    <w:p w:rsidR="00FA5005" w:rsidRDefault="00E02171">
      <w:pPr>
        <w:pStyle w:val="TOC3"/>
        <w:rPr>
          <w:rFonts w:asciiTheme="minorHAnsi" w:eastAsiaTheme="minorEastAsia" w:hAnsiTheme="minorHAnsi" w:cstheme="minorBidi"/>
          <w:noProof/>
          <w:sz w:val="22"/>
          <w:szCs w:val="22"/>
        </w:rPr>
      </w:pPr>
      <w:hyperlink w:anchor="_Toc244499425" w:history="1">
        <w:r w:rsidR="00FA5005" w:rsidRPr="00324A09">
          <w:rPr>
            <w:rStyle w:val="Hyperlink"/>
            <w:noProof/>
          </w:rPr>
          <w:t xml:space="preserve">1.  </w:t>
        </w:r>
        <w:r w:rsidR="00FA5005">
          <w:rPr>
            <w:rFonts w:asciiTheme="minorHAnsi" w:eastAsiaTheme="minorEastAsia" w:hAnsiTheme="minorHAnsi" w:cstheme="minorBidi"/>
            <w:noProof/>
            <w:sz w:val="22"/>
            <w:szCs w:val="22"/>
          </w:rPr>
          <w:tab/>
        </w:r>
        <w:r w:rsidR="00FA5005" w:rsidRPr="00324A09">
          <w:rPr>
            <w:rStyle w:val="Hyperlink"/>
            <w:noProof/>
          </w:rPr>
          <w:t>Projects Installed Between July 1, 2009, and Commission Approval of the Plans</w:t>
        </w:r>
        <w:r w:rsidR="00FA5005">
          <w:rPr>
            <w:noProof/>
            <w:webHidden/>
          </w:rPr>
          <w:tab/>
        </w:r>
        <w:r>
          <w:rPr>
            <w:noProof/>
            <w:webHidden/>
          </w:rPr>
          <w:fldChar w:fldCharType="begin"/>
        </w:r>
        <w:r w:rsidR="00FA5005">
          <w:rPr>
            <w:noProof/>
            <w:webHidden/>
          </w:rPr>
          <w:instrText xml:space="preserve"> PAGEREF _Toc244499425 \h </w:instrText>
        </w:r>
        <w:r>
          <w:rPr>
            <w:noProof/>
            <w:webHidden/>
          </w:rPr>
        </w:r>
        <w:r>
          <w:rPr>
            <w:noProof/>
            <w:webHidden/>
          </w:rPr>
          <w:fldChar w:fldCharType="separate"/>
        </w:r>
        <w:r w:rsidR="00B22FF4">
          <w:rPr>
            <w:noProof/>
            <w:webHidden/>
          </w:rPr>
          <w:t>125</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26" w:history="1">
        <w:r w:rsidR="00FA5005" w:rsidRPr="00324A09">
          <w:rPr>
            <w:rStyle w:val="Hyperlink"/>
            <w:noProof/>
          </w:rPr>
          <w:t>a.</w:t>
        </w:r>
        <w:r w:rsidR="00FA5005">
          <w:rPr>
            <w:rFonts w:asciiTheme="minorHAnsi" w:eastAsiaTheme="minorEastAsia" w:hAnsiTheme="minorHAnsi" w:cstheme="minorBidi"/>
            <w:noProof/>
            <w:sz w:val="22"/>
            <w:szCs w:val="22"/>
          </w:rPr>
          <w:tab/>
        </w:r>
        <w:r w:rsidR="00FA5005" w:rsidRPr="00324A09">
          <w:rPr>
            <w:rStyle w:val="Hyperlink"/>
            <w:noProof/>
          </w:rPr>
          <w:t>Positions of the Parties</w:t>
        </w:r>
        <w:r w:rsidR="00FA5005">
          <w:rPr>
            <w:noProof/>
            <w:webHidden/>
          </w:rPr>
          <w:tab/>
        </w:r>
        <w:r>
          <w:rPr>
            <w:noProof/>
            <w:webHidden/>
          </w:rPr>
          <w:fldChar w:fldCharType="begin"/>
        </w:r>
        <w:r w:rsidR="00FA5005">
          <w:rPr>
            <w:noProof/>
            <w:webHidden/>
          </w:rPr>
          <w:instrText xml:space="preserve"> PAGEREF _Toc244499426 \h </w:instrText>
        </w:r>
        <w:r>
          <w:rPr>
            <w:noProof/>
            <w:webHidden/>
          </w:rPr>
        </w:r>
        <w:r>
          <w:rPr>
            <w:noProof/>
            <w:webHidden/>
          </w:rPr>
          <w:fldChar w:fldCharType="separate"/>
        </w:r>
        <w:r w:rsidR="00B22FF4">
          <w:rPr>
            <w:noProof/>
            <w:webHidden/>
          </w:rPr>
          <w:t>125</w:t>
        </w:r>
        <w:r>
          <w:rPr>
            <w:noProof/>
            <w:webHidden/>
          </w:rPr>
          <w:fldChar w:fldCharType="end"/>
        </w:r>
      </w:hyperlink>
    </w:p>
    <w:p w:rsidR="00FA5005" w:rsidRDefault="00E02171">
      <w:pPr>
        <w:pStyle w:val="TOC4"/>
        <w:rPr>
          <w:rFonts w:asciiTheme="minorHAnsi" w:eastAsiaTheme="minorEastAsia" w:hAnsiTheme="minorHAnsi" w:cstheme="minorBidi"/>
          <w:noProof/>
          <w:sz w:val="22"/>
          <w:szCs w:val="22"/>
        </w:rPr>
      </w:pPr>
      <w:hyperlink w:anchor="_Toc244499427" w:history="1">
        <w:r w:rsidR="00FA5005" w:rsidRPr="00324A09">
          <w:rPr>
            <w:rStyle w:val="Hyperlink"/>
            <w:noProof/>
          </w:rPr>
          <w:t xml:space="preserve">b.  </w:t>
        </w:r>
        <w:r w:rsidR="00FA5005">
          <w:rPr>
            <w:rFonts w:asciiTheme="minorHAnsi" w:eastAsiaTheme="minorEastAsia" w:hAnsiTheme="minorHAnsi" w:cstheme="minorBidi"/>
            <w:noProof/>
            <w:sz w:val="22"/>
            <w:szCs w:val="22"/>
          </w:rPr>
          <w:tab/>
        </w:r>
        <w:r w:rsidR="00FA5005" w:rsidRPr="00324A09">
          <w:rPr>
            <w:rStyle w:val="Hyperlink"/>
            <w:noProof/>
          </w:rPr>
          <w:t>Disposition</w:t>
        </w:r>
        <w:r w:rsidR="00FA5005">
          <w:rPr>
            <w:noProof/>
            <w:webHidden/>
          </w:rPr>
          <w:tab/>
        </w:r>
        <w:r>
          <w:rPr>
            <w:noProof/>
            <w:webHidden/>
          </w:rPr>
          <w:fldChar w:fldCharType="begin"/>
        </w:r>
        <w:r w:rsidR="00FA5005">
          <w:rPr>
            <w:noProof/>
            <w:webHidden/>
          </w:rPr>
          <w:instrText xml:space="preserve"> PAGEREF _Toc244499427 \h </w:instrText>
        </w:r>
        <w:r>
          <w:rPr>
            <w:noProof/>
            <w:webHidden/>
          </w:rPr>
        </w:r>
        <w:r>
          <w:rPr>
            <w:noProof/>
            <w:webHidden/>
          </w:rPr>
          <w:fldChar w:fldCharType="separate"/>
        </w:r>
        <w:r w:rsidR="00B22FF4">
          <w:rPr>
            <w:noProof/>
            <w:webHidden/>
          </w:rPr>
          <w:t>125</w:t>
        </w:r>
        <w:r>
          <w:rPr>
            <w:noProof/>
            <w:webHidden/>
          </w:rPr>
          <w:fldChar w:fldCharType="end"/>
        </w:r>
      </w:hyperlink>
    </w:p>
    <w:p w:rsidR="00FA5005" w:rsidRDefault="00E02171">
      <w:pPr>
        <w:pStyle w:val="TOC1"/>
        <w:tabs>
          <w:tab w:val="left" w:pos="720"/>
          <w:tab w:val="right" w:leader="dot" w:pos="9350"/>
        </w:tabs>
        <w:rPr>
          <w:rFonts w:asciiTheme="minorHAnsi" w:eastAsiaTheme="minorEastAsia" w:hAnsiTheme="minorHAnsi" w:cstheme="minorBidi"/>
          <w:noProof/>
          <w:sz w:val="22"/>
          <w:szCs w:val="22"/>
        </w:rPr>
      </w:pPr>
      <w:hyperlink w:anchor="_Toc244499428" w:history="1">
        <w:r w:rsidR="00FA5005" w:rsidRPr="00324A09">
          <w:rPr>
            <w:rStyle w:val="Hyperlink"/>
            <w:noProof/>
          </w:rPr>
          <w:t xml:space="preserve">VI.  </w:t>
        </w:r>
        <w:r w:rsidR="00FA5005">
          <w:rPr>
            <w:rFonts w:asciiTheme="minorHAnsi" w:eastAsiaTheme="minorEastAsia" w:hAnsiTheme="minorHAnsi" w:cstheme="minorBidi"/>
            <w:noProof/>
            <w:sz w:val="22"/>
            <w:szCs w:val="22"/>
          </w:rPr>
          <w:tab/>
        </w:r>
        <w:r w:rsidR="00FA5005" w:rsidRPr="00324A09">
          <w:rPr>
            <w:rStyle w:val="Hyperlink"/>
            <w:noProof/>
          </w:rPr>
          <w:t>Conclusion</w:t>
        </w:r>
        <w:r w:rsidR="00FA5005">
          <w:rPr>
            <w:noProof/>
            <w:webHidden/>
          </w:rPr>
          <w:tab/>
        </w:r>
        <w:r>
          <w:rPr>
            <w:noProof/>
            <w:webHidden/>
          </w:rPr>
          <w:fldChar w:fldCharType="begin"/>
        </w:r>
        <w:r w:rsidR="00FA5005">
          <w:rPr>
            <w:noProof/>
            <w:webHidden/>
          </w:rPr>
          <w:instrText xml:space="preserve"> PAGEREF _Toc244499428 \h </w:instrText>
        </w:r>
        <w:r>
          <w:rPr>
            <w:noProof/>
            <w:webHidden/>
          </w:rPr>
        </w:r>
        <w:r>
          <w:rPr>
            <w:noProof/>
            <w:webHidden/>
          </w:rPr>
          <w:fldChar w:fldCharType="separate"/>
        </w:r>
        <w:r w:rsidR="00B22FF4">
          <w:rPr>
            <w:noProof/>
            <w:webHidden/>
          </w:rPr>
          <w:t>127</w:t>
        </w:r>
        <w:r>
          <w:rPr>
            <w:noProof/>
            <w:webHidden/>
          </w:rPr>
          <w:fldChar w:fldCharType="end"/>
        </w:r>
      </w:hyperlink>
    </w:p>
    <w:p w:rsidR="004261E0" w:rsidRDefault="00E02171" w:rsidP="00F8320E">
      <w:pPr>
        <w:spacing w:after="200" w:line="276" w:lineRule="auto"/>
        <w:rPr>
          <w:b/>
          <w:sz w:val="26"/>
          <w:szCs w:val="26"/>
        </w:rPr>
        <w:sectPr w:rsidR="004261E0" w:rsidSect="00C34D7A">
          <w:pgSz w:w="12240" w:h="15840"/>
          <w:pgMar w:top="1440" w:right="1440" w:bottom="1440" w:left="1440" w:header="720" w:footer="720" w:gutter="0"/>
          <w:pgNumType w:fmt="lowerRoman" w:start="1"/>
          <w:cols w:space="720"/>
          <w:docGrid w:linePitch="360"/>
        </w:sectPr>
      </w:pPr>
      <w:r>
        <w:rPr>
          <w:b/>
          <w:sz w:val="26"/>
          <w:szCs w:val="26"/>
        </w:rPr>
        <w:fldChar w:fldCharType="end"/>
      </w:r>
    </w:p>
    <w:p w:rsidR="00F461A6" w:rsidRDefault="003A5D24" w:rsidP="00581D51">
      <w:pPr>
        <w:spacing w:line="360" w:lineRule="auto"/>
        <w:jc w:val="center"/>
        <w:rPr>
          <w:b/>
          <w:sz w:val="26"/>
          <w:szCs w:val="26"/>
        </w:rPr>
      </w:pPr>
      <w:r>
        <w:rPr>
          <w:b/>
          <w:sz w:val="26"/>
          <w:szCs w:val="26"/>
        </w:rPr>
        <w:lastRenderedPageBreak/>
        <w:t>OPINION AND ORDER</w:t>
      </w:r>
    </w:p>
    <w:p w:rsidR="00F461A6" w:rsidRDefault="00F461A6" w:rsidP="00581D51">
      <w:pPr>
        <w:spacing w:line="360" w:lineRule="auto"/>
        <w:jc w:val="center"/>
        <w:rPr>
          <w:b/>
          <w:sz w:val="26"/>
          <w:szCs w:val="26"/>
        </w:rPr>
      </w:pPr>
    </w:p>
    <w:p w:rsidR="00581D51" w:rsidRPr="00581D51" w:rsidRDefault="00581D51" w:rsidP="00581D51">
      <w:pPr>
        <w:spacing w:line="360" w:lineRule="auto"/>
        <w:rPr>
          <w:b/>
          <w:sz w:val="26"/>
          <w:szCs w:val="26"/>
        </w:rPr>
      </w:pPr>
      <w:r>
        <w:rPr>
          <w:b/>
          <w:sz w:val="26"/>
          <w:szCs w:val="26"/>
        </w:rPr>
        <w:t>BY THE COMMISSION:</w:t>
      </w:r>
    </w:p>
    <w:p w:rsidR="00581D51" w:rsidRDefault="00581D51" w:rsidP="00581D51">
      <w:pPr>
        <w:spacing w:line="360" w:lineRule="auto"/>
        <w:ind w:firstLine="1440"/>
        <w:rPr>
          <w:sz w:val="26"/>
          <w:szCs w:val="26"/>
        </w:rPr>
      </w:pPr>
    </w:p>
    <w:p w:rsidR="00DB1424" w:rsidRPr="0056717C" w:rsidRDefault="00DB1424" w:rsidP="00695B97">
      <w:pPr>
        <w:pStyle w:val="Heading1"/>
      </w:pPr>
      <w:bookmarkStart w:id="0" w:name="_Toc242516213"/>
      <w:bookmarkStart w:id="1" w:name="_Toc244499269"/>
      <w:r w:rsidRPr="0056717C">
        <w:t>I.</w:t>
      </w:r>
      <w:r w:rsidR="00B6382E">
        <w:t xml:space="preserve">  </w:t>
      </w:r>
      <w:r w:rsidR="006F4B78">
        <w:tab/>
      </w:r>
      <w:r w:rsidRPr="00695B97">
        <w:t>Introduction</w:t>
      </w:r>
      <w:bookmarkEnd w:id="0"/>
      <w:bookmarkEnd w:id="1"/>
    </w:p>
    <w:p w:rsidR="00DB1424" w:rsidRDefault="00DB1424" w:rsidP="00DB1424">
      <w:pPr>
        <w:spacing w:line="360" w:lineRule="auto"/>
        <w:jc w:val="center"/>
        <w:rPr>
          <w:sz w:val="26"/>
          <w:szCs w:val="26"/>
        </w:rPr>
      </w:pPr>
    </w:p>
    <w:p w:rsidR="00F51A31" w:rsidRDefault="00DB1424" w:rsidP="00DB1424">
      <w:pPr>
        <w:spacing w:line="360" w:lineRule="auto"/>
        <w:ind w:firstLine="1440"/>
        <w:rPr>
          <w:sz w:val="26"/>
        </w:rPr>
      </w:pPr>
      <w:r>
        <w:rPr>
          <w:sz w:val="26"/>
          <w:szCs w:val="26"/>
        </w:rPr>
        <w:t xml:space="preserve">Before the Pennsylvania Public Utility Commission (Commission) for consideration and disposition is the </w:t>
      </w:r>
      <w:r w:rsidR="00CF0FD7">
        <w:rPr>
          <w:sz w:val="26"/>
          <w:szCs w:val="26"/>
        </w:rPr>
        <w:t xml:space="preserve">Joint </w:t>
      </w:r>
      <w:r w:rsidR="00947D67">
        <w:rPr>
          <w:sz w:val="26"/>
          <w:szCs w:val="26"/>
        </w:rPr>
        <w:t xml:space="preserve">Petition </w:t>
      </w:r>
      <w:r w:rsidR="00E255A4">
        <w:rPr>
          <w:sz w:val="26"/>
          <w:szCs w:val="26"/>
        </w:rPr>
        <w:t xml:space="preserve">(Joint Petition) </w:t>
      </w:r>
      <w:r w:rsidR="00947D67">
        <w:rPr>
          <w:sz w:val="26"/>
          <w:szCs w:val="26"/>
        </w:rPr>
        <w:t xml:space="preserve">of </w:t>
      </w:r>
      <w:r w:rsidR="00CF0FD7">
        <w:rPr>
          <w:sz w:val="26"/>
          <w:szCs w:val="26"/>
        </w:rPr>
        <w:t>Metropolitan Edison Company (Met Ed), Pennsylvania Electric Company (Penelec) and Pennsylvania Power Company (Penn Power) (collectively, FirstEnergy</w:t>
      </w:r>
      <w:r w:rsidR="00CE0BC7">
        <w:rPr>
          <w:sz w:val="26"/>
          <w:szCs w:val="26"/>
        </w:rPr>
        <w:t xml:space="preserve"> or the Companies</w:t>
      </w:r>
      <w:r w:rsidR="00CF0FD7">
        <w:rPr>
          <w:sz w:val="26"/>
          <w:szCs w:val="26"/>
        </w:rPr>
        <w:t>)</w:t>
      </w:r>
      <w:r w:rsidR="00947D67">
        <w:rPr>
          <w:sz w:val="26"/>
          <w:szCs w:val="26"/>
        </w:rPr>
        <w:t xml:space="preserve"> for </w:t>
      </w:r>
      <w:r w:rsidR="00CF0FD7">
        <w:rPr>
          <w:sz w:val="26"/>
          <w:szCs w:val="26"/>
        </w:rPr>
        <w:t xml:space="preserve">Consolidation of Proceedings and </w:t>
      </w:r>
      <w:r w:rsidR="00EB5773">
        <w:rPr>
          <w:sz w:val="26"/>
          <w:szCs w:val="26"/>
        </w:rPr>
        <w:t xml:space="preserve">Approval of </w:t>
      </w:r>
      <w:r w:rsidR="00947D67">
        <w:rPr>
          <w:sz w:val="26"/>
          <w:szCs w:val="26"/>
        </w:rPr>
        <w:t>Energy Efficiency and Conservation Plan</w:t>
      </w:r>
      <w:r w:rsidR="00CF0FD7">
        <w:rPr>
          <w:sz w:val="26"/>
          <w:szCs w:val="26"/>
        </w:rPr>
        <w:t>s</w:t>
      </w:r>
      <w:r w:rsidR="00947D67">
        <w:rPr>
          <w:sz w:val="26"/>
          <w:szCs w:val="26"/>
        </w:rPr>
        <w:t xml:space="preserve"> (Plan</w:t>
      </w:r>
      <w:r w:rsidR="00CF0FD7">
        <w:rPr>
          <w:sz w:val="26"/>
          <w:szCs w:val="26"/>
        </w:rPr>
        <w:t>s</w:t>
      </w:r>
      <w:r w:rsidR="00435AD6">
        <w:rPr>
          <w:rStyle w:val="FootnoteReference"/>
          <w:sz w:val="26"/>
          <w:szCs w:val="26"/>
        </w:rPr>
        <w:footnoteReference w:id="2"/>
      </w:r>
      <w:r w:rsidR="00947D67">
        <w:rPr>
          <w:sz w:val="26"/>
          <w:szCs w:val="26"/>
        </w:rPr>
        <w:t>)</w:t>
      </w:r>
      <w:r w:rsidR="00C9744B">
        <w:rPr>
          <w:sz w:val="26"/>
          <w:szCs w:val="26"/>
        </w:rPr>
        <w:t xml:space="preserve">, filed on July 1, 2009.  </w:t>
      </w:r>
      <w:r w:rsidR="00BA77D7">
        <w:rPr>
          <w:sz w:val="26"/>
        </w:rPr>
        <w:t>By Order Certifyin</w:t>
      </w:r>
      <w:r w:rsidR="00DE003B">
        <w:rPr>
          <w:sz w:val="26"/>
        </w:rPr>
        <w:t>g the Record, dated September 22</w:t>
      </w:r>
      <w:r w:rsidR="00BA77D7">
        <w:rPr>
          <w:sz w:val="26"/>
        </w:rPr>
        <w:t>, 200</w:t>
      </w:r>
      <w:r w:rsidR="004715F2">
        <w:rPr>
          <w:sz w:val="26"/>
        </w:rPr>
        <w:t>9</w:t>
      </w:r>
      <w:r w:rsidR="00BA77D7">
        <w:rPr>
          <w:sz w:val="26"/>
        </w:rPr>
        <w:t>, Administrative Law Judge (ALJ) David A. Salapa certified the record in this matter to us for consideration and disposition.</w:t>
      </w:r>
    </w:p>
    <w:p w:rsidR="00683763" w:rsidRDefault="00683763" w:rsidP="00DB1424">
      <w:pPr>
        <w:spacing w:line="360" w:lineRule="auto"/>
        <w:ind w:firstLine="1440"/>
        <w:rPr>
          <w:sz w:val="26"/>
        </w:rPr>
      </w:pPr>
    </w:p>
    <w:p w:rsidR="004933B3" w:rsidRDefault="004933B3">
      <w:pPr>
        <w:spacing w:after="200" w:line="276" w:lineRule="auto"/>
        <w:rPr>
          <w:rFonts w:eastAsiaTheme="majorEastAsia" w:cstheme="majorBidi"/>
          <w:b/>
          <w:bCs/>
          <w:sz w:val="26"/>
          <w:szCs w:val="26"/>
        </w:rPr>
      </w:pPr>
      <w:bookmarkStart w:id="2" w:name="_Toc242516214"/>
      <w:r>
        <w:rPr>
          <w:szCs w:val="26"/>
        </w:rPr>
        <w:br w:type="page"/>
      </w:r>
    </w:p>
    <w:p w:rsidR="001A395D" w:rsidRPr="0056717C" w:rsidRDefault="00B6382E" w:rsidP="00C70F06">
      <w:pPr>
        <w:pStyle w:val="Heading1"/>
        <w:rPr>
          <w:szCs w:val="26"/>
        </w:rPr>
      </w:pPr>
      <w:bookmarkStart w:id="3" w:name="_Toc244499270"/>
      <w:r>
        <w:rPr>
          <w:szCs w:val="26"/>
        </w:rPr>
        <w:lastRenderedPageBreak/>
        <w:t xml:space="preserve">II.  </w:t>
      </w:r>
      <w:r w:rsidR="006F4B78">
        <w:rPr>
          <w:szCs w:val="26"/>
        </w:rPr>
        <w:tab/>
      </w:r>
      <w:r w:rsidR="001A395D" w:rsidRPr="0056717C">
        <w:rPr>
          <w:szCs w:val="26"/>
        </w:rPr>
        <w:t>Background</w:t>
      </w:r>
      <w:bookmarkEnd w:id="2"/>
      <w:bookmarkEnd w:id="3"/>
      <w:r w:rsidR="00927547">
        <w:rPr>
          <w:szCs w:val="26"/>
        </w:rPr>
        <w:t xml:space="preserve"> </w:t>
      </w:r>
    </w:p>
    <w:p w:rsidR="001A395D" w:rsidRDefault="001A395D" w:rsidP="001A395D">
      <w:pPr>
        <w:spacing w:line="360" w:lineRule="auto"/>
        <w:rPr>
          <w:sz w:val="26"/>
          <w:szCs w:val="26"/>
        </w:rPr>
      </w:pPr>
    </w:p>
    <w:p w:rsidR="007D0396" w:rsidRPr="007D0396" w:rsidRDefault="007D0396" w:rsidP="007D0396">
      <w:pPr>
        <w:pStyle w:val="Heading2"/>
      </w:pPr>
      <w:bookmarkStart w:id="4" w:name="_Toc242516215"/>
      <w:bookmarkStart w:id="5" w:name="_Toc244499271"/>
      <w:r w:rsidRPr="007D0396">
        <w:t>A.</w:t>
      </w:r>
      <w:r w:rsidRPr="007D0396">
        <w:tab/>
        <w:t>Act 129</w:t>
      </w:r>
      <w:bookmarkEnd w:id="4"/>
      <w:bookmarkEnd w:id="5"/>
    </w:p>
    <w:p w:rsidR="007D0396" w:rsidRDefault="007D0396" w:rsidP="001A395D">
      <w:pPr>
        <w:spacing w:line="360" w:lineRule="auto"/>
        <w:rPr>
          <w:sz w:val="26"/>
          <w:szCs w:val="26"/>
        </w:rPr>
      </w:pPr>
    </w:p>
    <w:p w:rsidR="00EC40F6" w:rsidRDefault="00075E35" w:rsidP="00075E35">
      <w:pPr>
        <w:spacing w:line="360" w:lineRule="auto"/>
        <w:ind w:firstLine="1440"/>
        <w:rPr>
          <w:sz w:val="26"/>
          <w:szCs w:val="26"/>
        </w:rPr>
      </w:pPr>
      <w:r>
        <w:rPr>
          <w:sz w:val="26"/>
          <w:szCs w:val="26"/>
        </w:rPr>
        <w:t xml:space="preserve">Governor Edward G. Rendell signed Act 129 of 2008 (Act or Act 129) into law on October 15, 2008.  The Act took effect thirty days thereafter on November 14, 2008.  </w:t>
      </w:r>
      <w:r w:rsidR="001C6609">
        <w:rPr>
          <w:sz w:val="26"/>
          <w:szCs w:val="26"/>
        </w:rPr>
        <w:t xml:space="preserve">Act 129 has several goals including reducing energy consumption and demand.  </w:t>
      </w:r>
      <w:r>
        <w:rPr>
          <w:sz w:val="26"/>
          <w:szCs w:val="26"/>
        </w:rPr>
        <w:t xml:space="preserve">Among other things, the </w:t>
      </w:r>
      <w:r w:rsidR="0018452B">
        <w:rPr>
          <w:sz w:val="26"/>
          <w:szCs w:val="26"/>
        </w:rPr>
        <w:t xml:space="preserve">Act </w:t>
      </w:r>
      <w:r w:rsidR="000A78D1">
        <w:rPr>
          <w:sz w:val="26"/>
          <w:szCs w:val="26"/>
        </w:rPr>
        <w:t xml:space="preserve">amended the Public Utility Code (Code), 66 Pa. C.S. §§ 101 </w:t>
      </w:r>
      <w:r w:rsidR="000A78D1" w:rsidRPr="000A78D1">
        <w:rPr>
          <w:i/>
          <w:sz w:val="26"/>
          <w:szCs w:val="26"/>
        </w:rPr>
        <w:t>et seq</w:t>
      </w:r>
      <w:r w:rsidR="000A78D1">
        <w:rPr>
          <w:sz w:val="26"/>
          <w:szCs w:val="26"/>
        </w:rPr>
        <w:t>., to require</w:t>
      </w:r>
      <w:r w:rsidR="00F059CA">
        <w:rPr>
          <w:sz w:val="26"/>
          <w:szCs w:val="26"/>
        </w:rPr>
        <w:t xml:space="preserve"> the Commission to develop and adopt an Energy Efficiency and Conservation Program (EE&amp;C Program</w:t>
      </w:r>
      <w:r w:rsidR="00AA5C75">
        <w:rPr>
          <w:sz w:val="26"/>
          <w:szCs w:val="26"/>
        </w:rPr>
        <w:t>) by January 15, 2009</w:t>
      </w:r>
      <w:r w:rsidR="00F61D56">
        <w:rPr>
          <w:sz w:val="26"/>
          <w:szCs w:val="26"/>
        </w:rPr>
        <w:t xml:space="preserve">.  </w:t>
      </w:r>
      <w:r w:rsidR="00EC40F6">
        <w:rPr>
          <w:sz w:val="26"/>
          <w:szCs w:val="26"/>
        </w:rPr>
        <w:t>The Commission’s EE&amp;C Program is to include the following:</w:t>
      </w:r>
    </w:p>
    <w:p w:rsidR="000A78D1" w:rsidRDefault="000A78D1" w:rsidP="006E2EDA">
      <w:pPr>
        <w:ind w:firstLine="1440"/>
        <w:rPr>
          <w:sz w:val="26"/>
          <w:szCs w:val="26"/>
        </w:rPr>
      </w:pPr>
    </w:p>
    <w:p w:rsidR="00EC40F6" w:rsidRDefault="00EC40F6" w:rsidP="000A78D1">
      <w:pPr>
        <w:ind w:left="2160" w:hanging="720"/>
        <w:rPr>
          <w:sz w:val="26"/>
          <w:szCs w:val="26"/>
        </w:rPr>
      </w:pPr>
      <w:r>
        <w:rPr>
          <w:sz w:val="26"/>
          <w:szCs w:val="26"/>
        </w:rPr>
        <w:t>(1)</w:t>
      </w:r>
      <w:r w:rsidR="003F163C">
        <w:rPr>
          <w:sz w:val="26"/>
          <w:szCs w:val="26"/>
        </w:rPr>
        <w:tab/>
        <w:t xml:space="preserve">A procedure for approving </w:t>
      </w:r>
      <w:r w:rsidR="000A78D1">
        <w:rPr>
          <w:sz w:val="26"/>
          <w:szCs w:val="26"/>
        </w:rPr>
        <w:t xml:space="preserve">energy efficiency and conservation (EE&amp;C) </w:t>
      </w:r>
      <w:r w:rsidR="003F163C">
        <w:rPr>
          <w:sz w:val="26"/>
          <w:szCs w:val="26"/>
        </w:rPr>
        <w:t>plans</w:t>
      </w:r>
      <w:r w:rsidR="000A78D1">
        <w:rPr>
          <w:sz w:val="26"/>
          <w:szCs w:val="26"/>
        </w:rPr>
        <w:t xml:space="preserve"> submitted by electric distribution companies (EDCs)</w:t>
      </w:r>
      <w:r w:rsidR="003F163C">
        <w:rPr>
          <w:sz w:val="26"/>
          <w:szCs w:val="26"/>
        </w:rPr>
        <w:t>.</w:t>
      </w:r>
    </w:p>
    <w:p w:rsidR="006E2EDA" w:rsidRDefault="006E2EDA" w:rsidP="006E2EDA">
      <w:pPr>
        <w:ind w:firstLine="1440"/>
        <w:rPr>
          <w:sz w:val="26"/>
          <w:szCs w:val="26"/>
        </w:rPr>
      </w:pPr>
    </w:p>
    <w:p w:rsidR="003F163C" w:rsidRDefault="003F163C" w:rsidP="006E2EDA">
      <w:pPr>
        <w:ind w:left="2160" w:hanging="720"/>
        <w:rPr>
          <w:sz w:val="26"/>
          <w:szCs w:val="26"/>
        </w:rPr>
      </w:pPr>
      <w:r>
        <w:rPr>
          <w:sz w:val="26"/>
          <w:szCs w:val="26"/>
        </w:rPr>
        <w:t>(2)</w:t>
      </w:r>
      <w:r>
        <w:rPr>
          <w:sz w:val="26"/>
          <w:szCs w:val="26"/>
        </w:rPr>
        <w:tab/>
        <w:t xml:space="preserve">A process to evaluate and verify the results of each plan and the </w:t>
      </w:r>
      <w:r w:rsidR="00286BE7">
        <w:rPr>
          <w:sz w:val="26"/>
          <w:szCs w:val="26"/>
        </w:rPr>
        <w:t>p</w:t>
      </w:r>
      <w:r>
        <w:rPr>
          <w:sz w:val="26"/>
          <w:szCs w:val="26"/>
        </w:rPr>
        <w:t>rogram as a whole.</w:t>
      </w:r>
    </w:p>
    <w:p w:rsidR="006E2EDA" w:rsidRDefault="006E2EDA" w:rsidP="006E2EDA">
      <w:pPr>
        <w:ind w:left="2160" w:hanging="720"/>
        <w:rPr>
          <w:sz w:val="26"/>
          <w:szCs w:val="26"/>
        </w:rPr>
      </w:pPr>
    </w:p>
    <w:p w:rsidR="003F163C" w:rsidRDefault="003F163C" w:rsidP="006E2EDA">
      <w:pPr>
        <w:ind w:left="2160" w:hanging="720"/>
        <w:rPr>
          <w:sz w:val="26"/>
          <w:szCs w:val="26"/>
        </w:rPr>
      </w:pPr>
      <w:r>
        <w:rPr>
          <w:sz w:val="26"/>
          <w:szCs w:val="26"/>
        </w:rPr>
        <w:t>(3)</w:t>
      </w:r>
      <w:r>
        <w:rPr>
          <w:sz w:val="26"/>
          <w:szCs w:val="26"/>
        </w:rPr>
        <w:tab/>
        <w:t>A process to analyze the costs and benefits of each plan in accordance with a total resource cost test</w:t>
      </w:r>
      <w:r w:rsidR="00270BFC">
        <w:rPr>
          <w:sz w:val="26"/>
          <w:szCs w:val="26"/>
        </w:rPr>
        <w:t xml:space="preserve"> (TRC Test)</w:t>
      </w:r>
      <w:r>
        <w:rPr>
          <w:sz w:val="26"/>
          <w:szCs w:val="26"/>
        </w:rPr>
        <w:t>.</w:t>
      </w:r>
    </w:p>
    <w:p w:rsidR="006E2EDA" w:rsidRDefault="006E2EDA" w:rsidP="006E2EDA">
      <w:pPr>
        <w:ind w:left="2160" w:hanging="720"/>
        <w:rPr>
          <w:sz w:val="26"/>
          <w:szCs w:val="26"/>
        </w:rPr>
      </w:pPr>
    </w:p>
    <w:p w:rsidR="003F163C" w:rsidRDefault="003F163C" w:rsidP="006E2EDA">
      <w:pPr>
        <w:ind w:left="2160" w:hanging="720"/>
        <w:rPr>
          <w:sz w:val="26"/>
          <w:szCs w:val="26"/>
        </w:rPr>
      </w:pPr>
      <w:r>
        <w:rPr>
          <w:sz w:val="26"/>
          <w:szCs w:val="26"/>
        </w:rPr>
        <w:t>(4)</w:t>
      </w:r>
      <w:r>
        <w:rPr>
          <w:sz w:val="26"/>
          <w:szCs w:val="26"/>
        </w:rPr>
        <w:tab/>
        <w:t xml:space="preserve">A process to analyze how the program as a whole and each plan will enable the </w:t>
      </w:r>
      <w:r w:rsidR="000A78D1">
        <w:rPr>
          <w:sz w:val="26"/>
          <w:szCs w:val="26"/>
        </w:rPr>
        <w:t xml:space="preserve">electric distribution companies </w:t>
      </w:r>
      <w:r>
        <w:rPr>
          <w:sz w:val="26"/>
          <w:szCs w:val="26"/>
        </w:rPr>
        <w:t xml:space="preserve">to meet or exceed the </w:t>
      </w:r>
      <w:r w:rsidR="00845F99">
        <w:rPr>
          <w:sz w:val="26"/>
          <w:szCs w:val="26"/>
        </w:rPr>
        <w:t xml:space="preserve">Act’s </w:t>
      </w:r>
      <w:r>
        <w:rPr>
          <w:sz w:val="26"/>
          <w:szCs w:val="26"/>
        </w:rPr>
        <w:t>consumption reduction requirements.</w:t>
      </w:r>
    </w:p>
    <w:p w:rsidR="006E2EDA" w:rsidRDefault="006E2EDA" w:rsidP="006E2EDA">
      <w:pPr>
        <w:ind w:left="2160" w:hanging="720"/>
        <w:rPr>
          <w:sz w:val="26"/>
          <w:szCs w:val="26"/>
        </w:rPr>
      </w:pPr>
    </w:p>
    <w:p w:rsidR="003F163C" w:rsidRDefault="003F163C" w:rsidP="006E2EDA">
      <w:pPr>
        <w:ind w:left="2160" w:hanging="720"/>
        <w:rPr>
          <w:sz w:val="26"/>
          <w:szCs w:val="26"/>
        </w:rPr>
      </w:pPr>
      <w:r>
        <w:rPr>
          <w:sz w:val="26"/>
          <w:szCs w:val="26"/>
        </w:rPr>
        <w:t>(5)</w:t>
      </w:r>
      <w:r>
        <w:rPr>
          <w:sz w:val="26"/>
          <w:szCs w:val="26"/>
        </w:rPr>
        <w:tab/>
        <w:t>Standards to ensure that each plan uses a variety of measures that are applied equitably to all customer classes.</w:t>
      </w:r>
    </w:p>
    <w:p w:rsidR="006E2EDA" w:rsidRDefault="006E2EDA" w:rsidP="006E2EDA">
      <w:pPr>
        <w:ind w:left="2160" w:hanging="720"/>
        <w:rPr>
          <w:sz w:val="26"/>
          <w:szCs w:val="26"/>
        </w:rPr>
      </w:pPr>
    </w:p>
    <w:p w:rsidR="003F163C" w:rsidRDefault="003F163C" w:rsidP="006E2EDA">
      <w:pPr>
        <w:ind w:left="2160" w:hanging="720"/>
        <w:rPr>
          <w:sz w:val="26"/>
          <w:szCs w:val="26"/>
        </w:rPr>
      </w:pPr>
      <w:r>
        <w:rPr>
          <w:sz w:val="26"/>
          <w:szCs w:val="26"/>
        </w:rPr>
        <w:t>(6)</w:t>
      </w:r>
      <w:r>
        <w:rPr>
          <w:sz w:val="26"/>
          <w:szCs w:val="26"/>
        </w:rPr>
        <w:tab/>
        <w:t>A process through which recommendations can be made for the employment of additional consumption reduction measures.</w:t>
      </w:r>
    </w:p>
    <w:p w:rsidR="006E2EDA" w:rsidRDefault="006E2EDA" w:rsidP="006E2EDA">
      <w:pPr>
        <w:ind w:left="2160" w:hanging="720"/>
        <w:rPr>
          <w:sz w:val="26"/>
          <w:szCs w:val="26"/>
        </w:rPr>
      </w:pPr>
    </w:p>
    <w:p w:rsidR="00483B95" w:rsidRDefault="003F163C" w:rsidP="006E2EDA">
      <w:pPr>
        <w:ind w:left="2160" w:hanging="720"/>
        <w:rPr>
          <w:sz w:val="26"/>
          <w:szCs w:val="26"/>
        </w:rPr>
      </w:pPr>
      <w:r>
        <w:rPr>
          <w:sz w:val="26"/>
          <w:szCs w:val="26"/>
        </w:rPr>
        <w:t>(7)</w:t>
      </w:r>
      <w:r>
        <w:rPr>
          <w:sz w:val="26"/>
          <w:szCs w:val="26"/>
        </w:rPr>
        <w:tab/>
      </w:r>
      <w:r w:rsidR="00483B95">
        <w:rPr>
          <w:sz w:val="26"/>
          <w:szCs w:val="26"/>
        </w:rPr>
        <w:t>A procedure to require and approve the competitive bidding of all contracts with conservation service providers (CSPs).</w:t>
      </w:r>
    </w:p>
    <w:p w:rsidR="006E2EDA" w:rsidRDefault="006E2EDA" w:rsidP="006E2EDA">
      <w:pPr>
        <w:ind w:left="2160" w:hanging="720"/>
        <w:rPr>
          <w:sz w:val="26"/>
          <w:szCs w:val="26"/>
        </w:rPr>
      </w:pPr>
    </w:p>
    <w:p w:rsidR="00483B95" w:rsidRDefault="00483B95" w:rsidP="006E2EDA">
      <w:pPr>
        <w:ind w:left="2160" w:hanging="720"/>
        <w:rPr>
          <w:sz w:val="26"/>
          <w:szCs w:val="26"/>
        </w:rPr>
      </w:pPr>
      <w:r>
        <w:rPr>
          <w:sz w:val="26"/>
          <w:szCs w:val="26"/>
        </w:rPr>
        <w:t xml:space="preserve">(8)  </w:t>
      </w:r>
      <w:r>
        <w:rPr>
          <w:sz w:val="26"/>
          <w:szCs w:val="26"/>
        </w:rPr>
        <w:tab/>
        <w:t>A procedure through which the Commission will review and modify, if necessary, all contracts with CSPs prior to execution.</w:t>
      </w:r>
    </w:p>
    <w:p w:rsidR="006E2EDA" w:rsidRDefault="006E2EDA" w:rsidP="006E2EDA">
      <w:pPr>
        <w:ind w:left="2160" w:hanging="720"/>
        <w:rPr>
          <w:sz w:val="26"/>
          <w:szCs w:val="26"/>
        </w:rPr>
      </w:pPr>
    </w:p>
    <w:p w:rsidR="00483B95" w:rsidRDefault="00483B95" w:rsidP="006E2EDA">
      <w:pPr>
        <w:ind w:left="2160" w:hanging="720"/>
        <w:rPr>
          <w:sz w:val="26"/>
          <w:szCs w:val="26"/>
        </w:rPr>
      </w:pPr>
      <w:r>
        <w:rPr>
          <w:sz w:val="26"/>
          <w:szCs w:val="26"/>
        </w:rPr>
        <w:lastRenderedPageBreak/>
        <w:t>(9)</w:t>
      </w:r>
      <w:r>
        <w:rPr>
          <w:sz w:val="26"/>
          <w:szCs w:val="26"/>
        </w:rPr>
        <w:tab/>
        <w:t>A procedure to ensure compliance with the requ</w:t>
      </w:r>
      <w:r w:rsidR="00845F99">
        <w:rPr>
          <w:sz w:val="26"/>
          <w:szCs w:val="26"/>
        </w:rPr>
        <w:t>irements of Sections 2806.1(c) and</w:t>
      </w:r>
      <w:r>
        <w:rPr>
          <w:sz w:val="26"/>
          <w:szCs w:val="26"/>
        </w:rPr>
        <w:t xml:space="preserve"> (d)</w:t>
      </w:r>
      <w:r w:rsidR="00845F99">
        <w:rPr>
          <w:sz w:val="26"/>
          <w:szCs w:val="26"/>
        </w:rPr>
        <w:t xml:space="preserve"> of the Code, 66 Pa. C.S. §§ 2806.1(c) and (d).</w:t>
      </w:r>
    </w:p>
    <w:p w:rsidR="006E2EDA" w:rsidRDefault="006E2EDA" w:rsidP="006E2EDA">
      <w:pPr>
        <w:ind w:left="2160" w:hanging="720"/>
        <w:rPr>
          <w:sz w:val="26"/>
          <w:szCs w:val="26"/>
        </w:rPr>
      </w:pPr>
    </w:p>
    <w:p w:rsidR="00483B95" w:rsidRDefault="00483B95" w:rsidP="006E2EDA">
      <w:pPr>
        <w:ind w:left="2160" w:hanging="720"/>
        <w:rPr>
          <w:sz w:val="26"/>
          <w:szCs w:val="26"/>
        </w:rPr>
      </w:pPr>
      <w:r>
        <w:rPr>
          <w:sz w:val="26"/>
          <w:szCs w:val="26"/>
        </w:rPr>
        <w:t>(10)</w:t>
      </w:r>
      <w:r>
        <w:rPr>
          <w:sz w:val="26"/>
          <w:szCs w:val="26"/>
        </w:rPr>
        <w:tab/>
        <w:t>A requirement for the participation of CSPs in the implementation of all or part of a plan.</w:t>
      </w:r>
    </w:p>
    <w:p w:rsidR="006E2EDA" w:rsidRDefault="006E2EDA" w:rsidP="006E2EDA">
      <w:pPr>
        <w:ind w:left="2160" w:hanging="720"/>
        <w:rPr>
          <w:sz w:val="26"/>
          <w:szCs w:val="26"/>
        </w:rPr>
      </w:pPr>
    </w:p>
    <w:p w:rsidR="003F163C" w:rsidRDefault="00483B95" w:rsidP="006E2EDA">
      <w:pPr>
        <w:ind w:left="2160" w:hanging="720"/>
        <w:rPr>
          <w:sz w:val="26"/>
          <w:szCs w:val="26"/>
        </w:rPr>
      </w:pPr>
      <w:r>
        <w:rPr>
          <w:sz w:val="26"/>
          <w:szCs w:val="26"/>
        </w:rPr>
        <w:t>(11)</w:t>
      </w:r>
      <w:r>
        <w:rPr>
          <w:sz w:val="26"/>
          <w:szCs w:val="26"/>
        </w:rPr>
        <w:tab/>
        <w:t>A cost recovery mechanism to ensure that measures approved are financed by the customer class that directly receives the energy and conservation benefits.</w:t>
      </w:r>
      <w:r w:rsidR="003F163C">
        <w:rPr>
          <w:sz w:val="26"/>
          <w:szCs w:val="26"/>
        </w:rPr>
        <w:t xml:space="preserve"> </w:t>
      </w:r>
    </w:p>
    <w:p w:rsidR="00EC40F6" w:rsidRDefault="00EC40F6" w:rsidP="00075E35">
      <w:pPr>
        <w:spacing w:line="360" w:lineRule="auto"/>
        <w:ind w:firstLine="1440"/>
        <w:rPr>
          <w:sz w:val="26"/>
          <w:szCs w:val="26"/>
        </w:rPr>
      </w:pPr>
    </w:p>
    <w:p w:rsidR="00F61D56" w:rsidRDefault="00F61D56" w:rsidP="00F61D56">
      <w:pPr>
        <w:spacing w:line="360" w:lineRule="auto"/>
        <w:rPr>
          <w:sz w:val="26"/>
          <w:szCs w:val="26"/>
        </w:rPr>
      </w:pPr>
      <w:r>
        <w:rPr>
          <w:sz w:val="26"/>
          <w:szCs w:val="26"/>
        </w:rPr>
        <w:t xml:space="preserve">66 Pa. C.S. § 2806.1(a)(1)-(11).  </w:t>
      </w:r>
    </w:p>
    <w:p w:rsidR="00F61D56" w:rsidRDefault="00F61D56" w:rsidP="00F61D56">
      <w:pPr>
        <w:spacing w:line="360" w:lineRule="auto"/>
        <w:rPr>
          <w:sz w:val="26"/>
          <w:szCs w:val="26"/>
        </w:rPr>
      </w:pPr>
    </w:p>
    <w:p w:rsidR="00A23CB0" w:rsidRDefault="00F059CA" w:rsidP="00F61D56">
      <w:pPr>
        <w:spacing w:line="360" w:lineRule="auto"/>
        <w:ind w:firstLine="1440"/>
        <w:rPr>
          <w:sz w:val="26"/>
          <w:szCs w:val="26"/>
        </w:rPr>
      </w:pPr>
      <w:r>
        <w:rPr>
          <w:sz w:val="26"/>
          <w:szCs w:val="26"/>
        </w:rPr>
        <w:t xml:space="preserve">On October 21, 2008, the Commission issued a Secretarial Letter seeking comments on each of the individual aspects of the EE&amp;C Program outlined in </w:t>
      </w:r>
      <w:r w:rsidR="001D6E22">
        <w:rPr>
          <w:sz w:val="26"/>
          <w:szCs w:val="26"/>
        </w:rPr>
        <w:t>66 Pa. C.S. §</w:t>
      </w:r>
      <w:r w:rsidR="002D201A">
        <w:rPr>
          <w:sz w:val="26"/>
          <w:szCs w:val="26"/>
        </w:rPr>
        <w:t xml:space="preserve"> </w:t>
      </w:r>
      <w:r w:rsidR="001D6E22">
        <w:rPr>
          <w:sz w:val="26"/>
          <w:szCs w:val="26"/>
        </w:rPr>
        <w:t xml:space="preserve">2806.1(a)(1)-(11).  Pursuant to an October 29, 2008 Secretarial Letter at Docket No. </w:t>
      </w:r>
      <w:r w:rsidR="005E4C3B">
        <w:rPr>
          <w:sz w:val="26"/>
          <w:szCs w:val="26"/>
        </w:rPr>
        <w:t xml:space="preserve">  </w:t>
      </w:r>
      <w:r w:rsidR="001D6E22">
        <w:rPr>
          <w:sz w:val="26"/>
          <w:szCs w:val="26"/>
        </w:rPr>
        <w:t xml:space="preserve">M-00061984, comments were due November 3, 2008.  In addition, the Commission held a special </w:t>
      </w:r>
      <w:r w:rsidR="001D6E22">
        <w:rPr>
          <w:i/>
          <w:sz w:val="26"/>
          <w:szCs w:val="26"/>
        </w:rPr>
        <w:t xml:space="preserve">en banc </w:t>
      </w:r>
      <w:r w:rsidR="001D6E22">
        <w:rPr>
          <w:sz w:val="26"/>
          <w:szCs w:val="26"/>
        </w:rPr>
        <w:t xml:space="preserve">hearing on alternative energy, energy conservation and efficiency, and demand side response on November 19, </w:t>
      </w:r>
      <w:r w:rsidR="00590C17">
        <w:rPr>
          <w:sz w:val="26"/>
          <w:szCs w:val="26"/>
        </w:rPr>
        <w:t>2008.  Comments in reply to th</w:t>
      </w:r>
      <w:r w:rsidR="00286BE7">
        <w:rPr>
          <w:sz w:val="26"/>
          <w:szCs w:val="26"/>
        </w:rPr>
        <w:t>os</w:t>
      </w:r>
      <w:r w:rsidR="001D6E22">
        <w:rPr>
          <w:sz w:val="26"/>
          <w:szCs w:val="26"/>
        </w:rPr>
        <w:t xml:space="preserve">e </w:t>
      </w:r>
      <w:r w:rsidR="00C145FD">
        <w:rPr>
          <w:sz w:val="26"/>
          <w:szCs w:val="26"/>
        </w:rPr>
        <w:t xml:space="preserve">comments </w:t>
      </w:r>
      <w:r w:rsidR="001D6E22">
        <w:rPr>
          <w:sz w:val="26"/>
          <w:szCs w:val="26"/>
        </w:rPr>
        <w:t xml:space="preserve">expressed at the </w:t>
      </w:r>
      <w:r w:rsidR="00A23CB0">
        <w:rPr>
          <w:i/>
          <w:sz w:val="26"/>
          <w:szCs w:val="26"/>
        </w:rPr>
        <w:t xml:space="preserve">en banc </w:t>
      </w:r>
      <w:r w:rsidR="00A23CB0">
        <w:rPr>
          <w:sz w:val="26"/>
          <w:szCs w:val="26"/>
        </w:rPr>
        <w:t>hearing were due no later than December 1, 2008.</w:t>
      </w:r>
    </w:p>
    <w:p w:rsidR="00A23CB0" w:rsidRDefault="00A23CB0" w:rsidP="00075E35">
      <w:pPr>
        <w:spacing w:line="360" w:lineRule="auto"/>
        <w:ind w:firstLine="1440"/>
        <w:rPr>
          <w:sz w:val="26"/>
          <w:szCs w:val="26"/>
        </w:rPr>
      </w:pPr>
    </w:p>
    <w:p w:rsidR="00A23CB0" w:rsidRDefault="00A23CB0" w:rsidP="00075E35">
      <w:pPr>
        <w:spacing w:line="360" w:lineRule="auto"/>
        <w:ind w:firstLine="1440"/>
        <w:rPr>
          <w:sz w:val="26"/>
          <w:szCs w:val="26"/>
        </w:rPr>
      </w:pPr>
      <w:r>
        <w:rPr>
          <w:sz w:val="26"/>
          <w:szCs w:val="26"/>
        </w:rPr>
        <w:t xml:space="preserve">On November 26, 2008, the Commission circulated a draft staff proposal and further questions relative to the Act 129 implementation plan.  Comments on the draft proposal were due December 8, 2008.  An EE&amp;C Program stakeholder meeting was held on December 10, 2008.  </w:t>
      </w:r>
      <w:r w:rsidR="00F059CA">
        <w:rPr>
          <w:sz w:val="26"/>
          <w:szCs w:val="26"/>
        </w:rPr>
        <w:t xml:space="preserve"> </w:t>
      </w:r>
      <w:r>
        <w:rPr>
          <w:sz w:val="26"/>
          <w:szCs w:val="26"/>
        </w:rPr>
        <w:t>Reply comments were due by December 19, 2008.</w:t>
      </w:r>
    </w:p>
    <w:p w:rsidR="00A23CB0" w:rsidRDefault="00A23CB0" w:rsidP="00075E35">
      <w:pPr>
        <w:spacing w:line="360" w:lineRule="auto"/>
        <w:ind w:firstLine="1440"/>
        <w:rPr>
          <w:sz w:val="26"/>
          <w:szCs w:val="26"/>
        </w:rPr>
      </w:pPr>
    </w:p>
    <w:p w:rsidR="00AF45F8" w:rsidRDefault="0016013C" w:rsidP="00075E35">
      <w:pPr>
        <w:spacing w:line="360" w:lineRule="auto"/>
        <w:ind w:firstLine="1440"/>
        <w:rPr>
          <w:sz w:val="26"/>
          <w:szCs w:val="26"/>
        </w:rPr>
      </w:pPr>
      <w:r>
        <w:rPr>
          <w:sz w:val="26"/>
          <w:szCs w:val="26"/>
        </w:rPr>
        <w:t xml:space="preserve">By Opinion and Order entered January </w:t>
      </w:r>
      <w:r w:rsidR="00F31917">
        <w:rPr>
          <w:sz w:val="26"/>
          <w:szCs w:val="26"/>
        </w:rPr>
        <w:t>16,</w:t>
      </w:r>
      <w:r>
        <w:rPr>
          <w:sz w:val="26"/>
          <w:szCs w:val="26"/>
        </w:rPr>
        <w:t xml:space="preserve"> 2009</w:t>
      </w:r>
      <w:r w:rsidR="00670E8E">
        <w:rPr>
          <w:sz w:val="26"/>
          <w:szCs w:val="26"/>
        </w:rPr>
        <w:t>,</w:t>
      </w:r>
      <w:r w:rsidR="00F31917">
        <w:rPr>
          <w:sz w:val="26"/>
          <w:szCs w:val="26"/>
        </w:rPr>
        <w:t xml:space="preserve"> at Docket No. </w:t>
      </w:r>
      <w:r w:rsidR="00764BDC">
        <w:rPr>
          <w:sz w:val="26"/>
          <w:szCs w:val="26"/>
        </w:rPr>
        <w:t xml:space="preserve">                </w:t>
      </w:r>
      <w:r w:rsidR="00F31917">
        <w:rPr>
          <w:sz w:val="26"/>
          <w:szCs w:val="26"/>
        </w:rPr>
        <w:t>M-2008-2069887</w:t>
      </w:r>
      <w:r w:rsidR="001C6609">
        <w:rPr>
          <w:sz w:val="26"/>
          <w:szCs w:val="26"/>
        </w:rPr>
        <w:t xml:space="preserve">, </w:t>
      </w:r>
      <w:r w:rsidR="001C6609">
        <w:rPr>
          <w:i/>
          <w:sz w:val="26"/>
          <w:szCs w:val="26"/>
        </w:rPr>
        <w:t xml:space="preserve">In re: Energy Efficiency and Conservation Program </w:t>
      </w:r>
      <w:r>
        <w:rPr>
          <w:sz w:val="26"/>
          <w:szCs w:val="26"/>
        </w:rPr>
        <w:t xml:space="preserve"> (</w:t>
      </w:r>
      <w:r w:rsidRPr="0016013C">
        <w:rPr>
          <w:i/>
          <w:sz w:val="26"/>
          <w:szCs w:val="26"/>
        </w:rPr>
        <w:t>Implementation Order</w:t>
      </w:r>
      <w:r>
        <w:rPr>
          <w:sz w:val="26"/>
          <w:szCs w:val="26"/>
        </w:rPr>
        <w:t>)</w:t>
      </w:r>
      <w:r w:rsidR="007B3D5C">
        <w:rPr>
          <w:sz w:val="26"/>
          <w:szCs w:val="26"/>
        </w:rPr>
        <w:t xml:space="preserve">, </w:t>
      </w:r>
      <w:r w:rsidR="005E4C3B">
        <w:rPr>
          <w:sz w:val="26"/>
          <w:szCs w:val="26"/>
        </w:rPr>
        <w:t xml:space="preserve">the Commission established the standards </w:t>
      </w:r>
      <w:r w:rsidR="00922B86">
        <w:rPr>
          <w:sz w:val="26"/>
          <w:szCs w:val="26"/>
        </w:rPr>
        <w:t xml:space="preserve">that </w:t>
      </w:r>
      <w:r w:rsidR="00F61D56">
        <w:rPr>
          <w:sz w:val="26"/>
          <w:szCs w:val="26"/>
        </w:rPr>
        <w:t>EE&amp;C</w:t>
      </w:r>
      <w:r w:rsidR="005E4C3B">
        <w:rPr>
          <w:sz w:val="26"/>
          <w:szCs w:val="26"/>
        </w:rPr>
        <w:t xml:space="preserve"> plan</w:t>
      </w:r>
      <w:r w:rsidR="00E564BF">
        <w:rPr>
          <w:sz w:val="26"/>
          <w:szCs w:val="26"/>
        </w:rPr>
        <w:t>s</w:t>
      </w:r>
      <w:r w:rsidR="005E4C3B">
        <w:rPr>
          <w:sz w:val="26"/>
          <w:szCs w:val="26"/>
        </w:rPr>
        <w:t xml:space="preserve"> must meet and provided guidance on the procedures to be followed for submittal, review and approval of all aspects of EDC plans</w:t>
      </w:r>
      <w:r w:rsidR="00F31917">
        <w:rPr>
          <w:sz w:val="26"/>
          <w:szCs w:val="26"/>
        </w:rPr>
        <w:t>.</w:t>
      </w:r>
      <w:r w:rsidR="00764BDC">
        <w:rPr>
          <w:sz w:val="26"/>
          <w:szCs w:val="26"/>
        </w:rPr>
        <w:t xml:space="preserve"> </w:t>
      </w:r>
    </w:p>
    <w:p w:rsidR="006B2D6A" w:rsidRDefault="006B2D6A" w:rsidP="00075E35">
      <w:pPr>
        <w:spacing w:line="360" w:lineRule="auto"/>
        <w:ind w:firstLine="1440"/>
        <w:rPr>
          <w:sz w:val="26"/>
          <w:szCs w:val="26"/>
        </w:rPr>
      </w:pPr>
    </w:p>
    <w:p w:rsidR="0031559E" w:rsidRPr="007F418B" w:rsidRDefault="0031559E" w:rsidP="0031559E">
      <w:pPr>
        <w:spacing w:line="360" w:lineRule="auto"/>
        <w:ind w:firstLine="1440"/>
        <w:rPr>
          <w:sz w:val="26"/>
          <w:szCs w:val="26"/>
        </w:rPr>
      </w:pPr>
      <w:r w:rsidRPr="007F418B">
        <w:rPr>
          <w:color w:val="000000"/>
          <w:sz w:val="26"/>
          <w:szCs w:val="26"/>
        </w:rPr>
        <w:lastRenderedPageBreak/>
        <w:t xml:space="preserve">On January 30, 2009, the Energy Association of Pennsylvania (Energy Association) filed a Petition for Clarification and Reconsideration of the </w:t>
      </w:r>
      <w:r w:rsidRPr="007F418B">
        <w:rPr>
          <w:i/>
          <w:color w:val="000000"/>
          <w:sz w:val="26"/>
          <w:szCs w:val="26"/>
        </w:rPr>
        <w:t>Implementation Order</w:t>
      </w:r>
      <w:r w:rsidRPr="007F418B">
        <w:rPr>
          <w:color w:val="000000"/>
          <w:sz w:val="26"/>
          <w:szCs w:val="26"/>
        </w:rPr>
        <w:t xml:space="preserve">.  On February 2, 2009, the Industrial Energy Consumers of Pennsylvania (IECPA) filed a Petition for Clarification of the </w:t>
      </w:r>
      <w:r w:rsidRPr="007F418B">
        <w:rPr>
          <w:i/>
          <w:color w:val="000000"/>
          <w:sz w:val="26"/>
          <w:szCs w:val="26"/>
        </w:rPr>
        <w:t>Implementation Order.</w:t>
      </w:r>
      <w:r w:rsidRPr="007F418B">
        <w:rPr>
          <w:color w:val="000000"/>
          <w:sz w:val="26"/>
          <w:szCs w:val="26"/>
        </w:rPr>
        <w:t xml:space="preserve">  By Opinion and Order entered June 2, 2009, at Docket No. M-2008-2069887 (</w:t>
      </w:r>
      <w:r w:rsidRPr="007F418B">
        <w:rPr>
          <w:i/>
          <w:color w:val="000000"/>
          <w:sz w:val="26"/>
          <w:szCs w:val="26"/>
        </w:rPr>
        <w:t>Reconsideration Order</w:t>
      </w:r>
      <w:r w:rsidRPr="007F418B">
        <w:rPr>
          <w:color w:val="000000"/>
          <w:sz w:val="26"/>
          <w:szCs w:val="26"/>
        </w:rPr>
        <w:t xml:space="preserve">) the Energy Association’s Petition was denied and IECPA’s was granted.  In the </w:t>
      </w:r>
      <w:r w:rsidRPr="007F418B">
        <w:rPr>
          <w:i/>
          <w:color w:val="000000"/>
          <w:sz w:val="26"/>
          <w:szCs w:val="26"/>
        </w:rPr>
        <w:t>Reconsideration Order</w:t>
      </w:r>
      <w:r w:rsidRPr="007F418B">
        <w:rPr>
          <w:color w:val="000000"/>
          <w:sz w:val="26"/>
          <w:szCs w:val="26"/>
        </w:rPr>
        <w:t xml:space="preserve">, the Commission declined to extend the peak load reduction compliance period to the summer of 2013, (June 1, 2013 through September 30, 2013), as requested by the Energy Association.  The Commission also declined to adopt the Energy Association’s request that the Commission measure only </w:t>
      </w:r>
      <w:r w:rsidRPr="007F418B">
        <w:rPr>
          <w:sz w:val="26"/>
          <w:szCs w:val="26"/>
        </w:rPr>
        <w:t>an EDC’s capability to reduce peak demand, as opposed to an actual reduction of peak demand.  Finally, the Commission granted the IECPA’s request to allow all parties, not just the EDCs, an opportunity to submit reply briefs in the plan approval proceedings.</w:t>
      </w:r>
    </w:p>
    <w:p w:rsidR="00AF45F8" w:rsidRDefault="00AF45F8" w:rsidP="00075E35">
      <w:pPr>
        <w:spacing w:line="360" w:lineRule="auto"/>
        <w:ind w:firstLine="1440"/>
        <w:rPr>
          <w:sz w:val="26"/>
          <w:szCs w:val="26"/>
        </w:rPr>
      </w:pPr>
    </w:p>
    <w:p w:rsidR="00E564BF" w:rsidRDefault="00D67449" w:rsidP="00A308F1">
      <w:pPr>
        <w:pStyle w:val="p3"/>
        <w:spacing w:line="360" w:lineRule="auto"/>
        <w:ind w:firstLine="1440"/>
        <w:rPr>
          <w:sz w:val="26"/>
          <w:szCs w:val="26"/>
        </w:rPr>
      </w:pPr>
      <w:r>
        <w:rPr>
          <w:sz w:val="26"/>
          <w:szCs w:val="26"/>
        </w:rPr>
        <w:t xml:space="preserve">Act 129 establishes a requirement for the participation of </w:t>
      </w:r>
      <w:r w:rsidR="00E564BF">
        <w:rPr>
          <w:sz w:val="26"/>
          <w:szCs w:val="26"/>
        </w:rPr>
        <w:t>CSPs</w:t>
      </w:r>
      <w:r>
        <w:rPr>
          <w:sz w:val="26"/>
          <w:szCs w:val="26"/>
        </w:rPr>
        <w:t xml:space="preserve"> in the implementation of all </w:t>
      </w:r>
      <w:r w:rsidR="00A308F1">
        <w:rPr>
          <w:sz w:val="26"/>
          <w:szCs w:val="26"/>
        </w:rPr>
        <w:t xml:space="preserve">or part of a plan.  66 Pa. C.S. § </w:t>
      </w:r>
      <w:r w:rsidR="007A232D">
        <w:rPr>
          <w:sz w:val="26"/>
          <w:szCs w:val="26"/>
        </w:rPr>
        <w:t>2806.1(a)(10).  The Commission wa</w:t>
      </w:r>
      <w:r>
        <w:rPr>
          <w:sz w:val="26"/>
          <w:szCs w:val="26"/>
        </w:rPr>
        <w:t xml:space="preserve">s required to establish, by March 1, 2009, a registry of approved persons qualified to provide conservation services to all classes of customers.  66 Pa. C.S. § 2806.2(a). </w:t>
      </w:r>
      <w:r w:rsidR="00D246E8">
        <w:rPr>
          <w:sz w:val="26"/>
          <w:szCs w:val="26"/>
        </w:rPr>
        <w:t xml:space="preserve"> The Commission</w:t>
      </w:r>
      <w:r>
        <w:rPr>
          <w:sz w:val="26"/>
          <w:szCs w:val="26"/>
        </w:rPr>
        <w:t xml:space="preserve"> </w:t>
      </w:r>
      <w:r w:rsidR="00D246E8">
        <w:rPr>
          <w:sz w:val="26"/>
          <w:szCs w:val="26"/>
        </w:rPr>
        <w:t xml:space="preserve">instituted a process at Docket No. M-2008-2074154 to establish the qualification requirements CSPs must meet to be included on the registry. </w:t>
      </w:r>
      <w:r w:rsidR="007A232D">
        <w:rPr>
          <w:sz w:val="26"/>
          <w:szCs w:val="26"/>
        </w:rPr>
        <w:t xml:space="preserve">  </w:t>
      </w:r>
      <w:r w:rsidR="00CE12F0">
        <w:rPr>
          <w:sz w:val="26"/>
          <w:szCs w:val="26"/>
        </w:rPr>
        <w:t>On December </w:t>
      </w:r>
      <w:r w:rsidR="00485DC0">
        <w:rPr>
          <w:sz w:val="26"/>
          <w:szCs w:val="26"/>
        </w:rPr>
        <w:t>22, 2008, the Commission entered a</w:t>
      </w:r>
      <w:r w:rsidR="00FE7F25">
        <w:rPr>
          <w:sz w:val="26"/>
          <w:szCs w:val="26"/>
        </w:rPr>
        <w:t>n o</w:t>
      </w:r>
      <w:r w:rsidR="00485DC0">
        <w:rPr>
          <w:sz w:val="26"/>
          <w:szCs w:val="26"/>
        </w:rPr>
        <w:t>rder tentatively establishing the CSP Registry</w:t>
      </w:r>
      <w:r w:rsidR="00FE7F25">
        <w:rPr>
          <w:sz w:val="26"/>
          <w:szCs w:val="26"/>
        </w:rPr>
        <w:t xml:space="preserve"> (</w:t>
      </w:r>
      <w:r w:rsidR="00FE7F25">
        <w:rPr>
          <w:i/>
          <w:sz w:val="26"/>
          <w:szCs w:val="26"/>
        </w:rPr>
        <w:t>Tentative Order)</w:t>
      </w:r>
      <w:r w:rsidR="00485DC0">
        <w:rPr>
          <w:sz w:val="26"/>
          <w:szCs w:val="26"/>
        </w:rPr>
        <w:t xml:space="preserve">.  The </w:t>
      </w:r>
      <w:r w:rsidR="00485DC0" w:rsidRPr="00485DC0">
        <w:rPr>
          <w:i/>
          <w:sz w:val="26"/>
          <w:szCs w:val="26"/>
        </w:rPr>
        <w:t>Tentative Order</w:t>
      </w:r>
      <w:r w:rsidR="00485DC0">
        <w:rPr>
          <w:sz w:val="26"/>
          <w:szCs w:val="26"/>
        </w:rPr>
        <w:t xml:space="preserve"> was to become final unless adverse comments were received </w:t>
      </w:r>
      <w:r w:rsidR="007C2380">
        <w:rPr>
          <w:sz w:val="26"/>
          <w:szCs w:val="26"/>
        </w:rPr>
        <w:t xml:space="preserve">on or before </w:t>
      </w:r>
      <w:r w:rsidR="00485DC0">
        <w:rPr>
          <w:sz w:val="26"/>
          <w:szCs w:val="26"/>
        </w:rPr>
        <w:t xml:space="preserve">January 2, 2009.  Adverse comments were </w:t>
      </w:r>
      <w:r w:rsidR="00632DF1">
        <w:rPr>
          <w:sz w:val="26"/>
          <w:szCs w:val="26"/>
        </w:rPr>
        <w:t xml:space="preserve">timely </w:t>
      </w:r>
      <w:r w:rsidR="00485DC0">
        <w:rPr>
          <w:sz w:val="26"/>
          <w:szCs w:val="26"/>
        </w:rPr>
        <w:t xml:space="preserve">received.  </w:t>
      </w:r>
    </w:p>
    <w:p w:rsidR="00E564BF" w:rsidRDefault="00E564BF" w:rsidP="00A308F1">
      <w:pPr>
        <w:pStyle w:val="p3"/>
        <w:spacing w:line="360" w:lineRule="auto"/>
        <w:ind w:firstLine="1440"/>
        <w:rPr>
          <w:sz w:val="26"/>
          <w:szCs w:val="26"/>
        </w:rPr>
      </w:pPr>
    </w:p>
    <w:p w:rsidR="00A308F1" w:rsidRDefault="007A232D" w:rsidP="00CE12F0">
      <w:pPr>
        <w:pStyle w:val="p3"/>
        <w:keepNext/>
        <w:widowControl/>
        <w:spacing w:line="360" w:lineRule="auto"/>
        <w:ind w:firstLine="1440"/>
        <w:rPr>
          <w:sz w:val="26"/>
          <w:szCs w:val="26"/>
        </w:rPr>
      </w:pPr>
      <w:r>
        <w:rPr>
          <w:sz w:val="26"/>
          <w:szCs w:val="26"/>
        </w:rPr>
        <w:t xml:space="preserve">By Opinion and Order entered </w:t>
      </w:r>
      <w:r w:rsidR="00A308F1">
        <w:rPr>
          <w:sz w:val="26"/>
          <w:szCs w:val="26"/>
        </w:rPr>
        <w:t>February 5</w:t>
      </w:r>
      <w:r>
        <w:rPr>
          <w:sz w:val="26"/>
          <w:szCs w:val="26"/>
        </w:rPr>
        <w:t>, 200</w:t>
      </w:r>
      <w:r w:rsidR="00A308F1">
        <w:rPr>
          <w:sz w:val="26"/>
          <w:szCs w:val="26"/>
        </w:rPr>
        <w:t>9</w:t>
      </w:r>
      <w:r>
        <w:rPr>
          <w:sz w:val="26"/>
          <w:szCs w:val="26"/>
        </w:rPr>
        <w:t xml:space="preserve">, </w:t>
      </w:r>
      <w:r w:rsidR="00632DF1">
        <w:rPr>
          <w:sz w:val="26"/>
          <w:szCs w:val="26"/>
        </w:rPr>
        <w:t xml:space="preserve">at Docket No. </w:t>
      </w:r>
      <w:r w:rsidR="00E564BF">
        <w:rPr>
          <w:sz w:val="26"/>
          <w:szCs w:val="26"/>
        </w:rPr>
        <w:br/>
      </w:r>
      <w:r w:rsidR="00632DF1">
        <w:rPr>
          <w:sz w:val="26"/>
          <w:szCs w:val="26"/>
        </w:rPr>
        <w:t>M-2008-2074154</w:t>
      </w:r>
      <w:r w:rsidR="001C6609">
        <w:rPr>
          <w:sz w:val="26"/>
          <w:szCs w:val="26"/>
        </w:rPr>
        <w:t>,</w:t>
      </w:r>
      <w:r w:rsidR="00632DF1">
        <w:rPr>
          <w:sz w:val="26"/>
          <w:szCs w:val="26"/>
        </w:rPr>
        <w:t xml:space="preserve"> </w:t>
      </w:r>
      <w:r w:rsidR="001C6609" w:rsidRPr="001C6609">
        <w:rPr>
          <w:i/>
          <w:sz w:val="26"/>
          <w:szCs w:val="26"/>
        </w:rPr>
        <w:t>In re: Implementation of Act 129 of 2008 Phase 2 – Registry of Conservation Service Providers</w:t>
      </w:r>
      <w:r w:rsidR="001C6609">
        <w:rPr>
          <w:sz w:val="26"/>
          <w:szCs w:val="26"/>
        </w:rPr>
        <w:t xml:space="preserve"> </w:t>
      </w:r>
      <w:r w:rsidR="00632DF1">
        <w:rPr>
          <w:sz w:val="26"/>
          <w:szCs w:val="26"/>
        </w:rPr>
        <w:t>(</w:t>
      </w:r>
      <w:r w:rsidR="00632DF1" w:rsidRPr="00632DF1">
        <w:rPr>
          <w:i/>
          <w:sz w:val="26"/>
          <w:szCs w:val="26"/>
        </w:rPr>
        <w:t xml:space="preserve">Final </w:t>
      </w:r>
      <w:r w:rsidR="00AD3026">
        <w:rPr>
          <w:i/>
          <w:sz w:val="26"/>
          <w:szCs w:val="26"/>
        </w:rPr>
        <w:t xml:space="preserve">CSP </w:t>
      </w:r>
      <w:r w:rsidR="00632DF1" w:rsidRPr="00632DF1">
        <w:rPr>
          <w:i/>
          <w:sz w:val="26"/>
          <w:szCs w:val="26"/>
        </w:rPr>
        <w:t>Order</w:t>
      </w:r>
      <w:r w:rsidR="00632DF1">
        <w:rPr>
          <w:sz w:val="26"/>
          <w:szCs w:val="26"/>
        </w:rPr>
        <w:t xml:space="preserve">), </w:t>
      </w:r>
      <w:r>
        <w:rPr>
          <w:sz w:val="26"/>
          <w:szCs w:val="26"/>
        </w:rPr>
        <w:t xml:space="preserve">the Commission </w:t>
      </w:r>
      <w:r w:rsidR="00A308F1" w:rsidRPr="00FA18B3">
        <w:rPr>
          <w:sz w:val="26"/>
          <w:szCs w:val="26"/>
        </w:rPr>
        <w:t>establish</w:t>
      </w:r>
      <w:r w:rsidR="00A308F1">
        <w:rPr>
          <w:sz w:val="26"/>
          <w:szCs w:val="26"/>
        </w:rPr>
        <w:t>ed</w:t>
      </w:r>
      <w:r w:rsidR="00A308F1" w:rsidRPr="00FA18B3">
        <w:rPr>
          <w:sz w:val="26"/>
          <w:szCs w:val="26"/>
        </w:rPr>
        <w:t xml:space="preserve"> the </w:t>
      </w:r>
      <w:r w:rsidR="00A308F1">
        <w:rPr>
          <w:sz w:val="26"/>
          <w:szCs w:val="26"/>
        </w:rPr>
        <w:lastRenderedPageBreak/>
        <w:t>minimum experience and qualification requirements</w:t>
      </w:r>
      <w:r w:rsidR="00A308F1" w:rsidRPr="00FA18B3">
        <w:rPr>
          <w:sz w:val="26"/>
          <w:szCs w:val="26"/>
        </w:rPr>
        <w:t xml:space="preserve"> each </w:t>
      </w:r>
      <w:r w:rsidR="00E564BF">
        <w:rPr>
          <w:sz w:val="26"/>
          <w:szCs w:val="26"/>
        </w:rPr>
        <w:t>CSP</w:t>
      </w:r>
      <w:r w:rsidR="00A308F1">
        <w:rPr>
          <w:sz w:val="26"/>
          <w:szCs w:val="26"/>
        </w:rPr>
        <w:t xml:space="preserve"> must meet to be included in the </w:t>
      </w:r>
      <w:r w:rsidR="007C2380">
        <w:rPr>
          <w:sz w:val="26"/>
          <w:szCs w:val="26"/>
        </w:rPr>
        <w:t xml:space="preserve">CSP </w:t>
      </w:r>
      <w:r w:rsidR="00A308F1">
        <w:rPr>
          <w:sz w:val="26"/>
          <w:szCs w:val="26"/>
        </w:rPr>
        <w:t>registry.</w:t>
      </w:r>
    </w:p>
    <w:p w:rsidR="009677C1" w:rsidRDefault="009677C1" w:rsidP="00075E35">
      <w:pPr>
        <w:spacing w:line="360" w:lineRule="auto"/>
        <w:ind w:firstLine="1440"/>
        <w:rPr>
          <w:sz w:val="26"/>
          <w:szCs w:val="26"/>
        </w:rPr>
      </w:pPr>
    </w:p>
    <w:p w:rsidR="00917E05" w:rsidRDefault="00B51310" w:rsidP="00917E05">
      <w:pPr>
        <w:pStyle w:val="p3"/>
        <w:tabs>
          <w:tab w:val="clear" w:pos="204"/>
        </w:tabs>
        <w:spacing w:line="360" w:lineRule="auto"/>
        <w:ind w:firstLine="1440"/>
        <w:rPr>
          <w:sz w:val="26"/>
          <w:szCs w:val="26"/>
        </w:rPr>
      </w:pPr>
      <w:r>
        <w:rPr>
          <w:sz w:val="26"/>
          <w:szCs w:val="26"/>
        </w:rPr>
        <w:t xml:space="preserve">In the </w:t>
      </w:r>
      <w:r>
        <w:rPr>
          <w:i/>
          <w:sz w:val="26"/>
          <w:szCs w:val="26"/>
        </w:rPr>
        <w:t>Implementation Order,</w:t>
      </w:r>
      <w:r w:rsidR="00AD36CA">
        <w:rPr>
          <w:sz w:val="26"/>
          <w:szCs w:val="26"/>
        </w:rPr>
        <w:t xml:space="preserve"> at 13, t</w:t>
      </w:r>
      <w:r>
        <w:rPr>
          <w:sz w:val="26"/>
          <w:szCs w:val="26"/>
        </w:rPr>
        <w:t xml:space="preserve">he Commission stated that it would utilize the Technical Reference Manual (TRM) to help fulfill the evaluation process requirements contained in the Act.  </w:t>
      </w:r>
      <w:r w:rsidR="006703B1">
        <w:rPr>
          <w:sz w:val="26"/>
          <w:szCs w:val="26"/>
        </w:rPr>
        <w:t>The TRM was previously adopted by the Commission in the Alternat</w:t>
      </w:r>
      <w:r w:rsidR="0096742A">
        <w:rPr>
          <w:sz w:val="26"/>
          <w:szCs w:val="26"/>
        </w:rPr>
        <w:t>iv</w:t>
      </w:r>
      <w:r w:rsidR="006703B1">
        <w:rPr>
          <w:sz w:val="26"/>
          <w:szCs w:val="26"/>
        </w:rPr>
        <w:t>e Energy Portfolio Standards Act pr</w:t>
      </w:r>
      <w:r w:rsidR="00CE12F0">
        <w:rPr>
          <w:sz w:val="26"/>
          <w:szCs w:val="26"/>
        </w:rPr>
        <w:t>oceedings at Docket No. M</w:t>
      </w:r>
      <w:r w:rsidR="00CE12F0">
        <w:rPr>
          <w:sz w:val="26"/>
          <w:szCs w:val="26"/>
        </w:rPr>
        <w:noBreakHyphen/>
      </w:r>
      <w:r w:rsidR="006703B1">
        <w:rPr>
          <w:sz w:val="26"/>
          <w:szCs w:val="26"/>
        </w:rPr>
        <w:t xml:space="preserve">00051865.  </w:t>
      </w:r>
      <w:r>
        <w:rPr>
          <w:sz w:val="26"/>
          <w:szCs w:val="26"/>
        </w:rPr>
        <w:t xml:space="preserve">The Commission noted, however, that the TRM </w:t>
      </w:r>
      <w:r w:rsidR="00632DF1">
        <w:rPr>
          <w:sz w:val="26"/>
          <w:szCs w:val="26"/>
        </w:rPr>
        <w:t xml:space="preserve">may </w:t>
      </w:r>
      <w:r>
        <w:rPr>
          <w:sz w:val="26"/>
          <w:szCs w:val="26"/>
        </w:rPr>
        <w:t xml:space="preserve">need to be updated and expanded to </w:t>
      </w:r>
      <w:r w:rsidR="007C2380">
        <w:rPr>
          <w:sz w:val="26"/>
          <w:szCs w:val="26"/>
        </w:rPr>
        <w:t>fulfill the requirements of</w:t>
      </w:r>
      <w:r>
        <w:rPr>
          <w:sz w:val="26"/>
          <w:szCs w:val="26"/>
        </w:rPr>
        <w:t xml:space="preserve"> Act 129.  The Commission stated that it would update and expand the TRM </w:t>
      </w:r>
      <w:r w:rsidR="007C2380">
        <w:rPr>
          <w:sz w:val="26"/>
          <w:szCs w:val="26"/>
        </w:rPr>
        <w:t xml:space="preserve">at Docket No. M-00051865 </w:t>
      </w:r>
      <w:r>
        <w:rPr>
          <w:sz w:val="26"/>
          <w:szCs w:val="26"/>
        </w:rPr>
        <w:t>to provide for additiona</w:t>
      </w:r>
      <w:r w:rsidR="00632DF1">
        <w:rPr>
          <w:sz w:val="26"/>
          <w:szCs w:val="26"/>
        </w:rPr>
        <w:t>l energy efficient technologies</w:t>
      </w:r>
      <w:r>
        <w:rPr>
          <w:sz w:val="26"/>
          <w:szCs w:val="26"/>
        </w:rPr>
        <w:t>.</w:t>
      </w:r>
      <w:r w:rsidR="00917E05">
        <w:rPr>
          <w:sz w:val="26"/>
          <w:szCs w:val="26"/>
        </w:rPr>
        <w:t xml:space="preserve">  </w:t>
      </w:r>
      <w:r w:rsidR="005C7BA5">
        <w:rPr>
          <w:sz w:val="26"/>
          <w:szCs w:val="26"/>
        </w:rPr>
        <w:t xml:space="preserve">On February 20, 2009, the Commission issued a Secretarial Letter seeking comments on a proposed TRM update.  Following the receipt of comments and reply comments, and a meeting with interested stakeholders, the </w:t>
      </w:r>
      <w:r w:rsidR="00917E05">
        <w:rPr>
          <w:sz w:val="26"/>
          <w:szCs w:val="26"/>
        </w:rPr>
        <w:t>Commission</w:t>
      </w:r>
      <w:r w:rsidR="005C7BA5">
        <w:rPr>
          <w:sz w:val="26"/>
          <w:szCs w:val="26"/>
        </w:rPr>
        <w:t>, on June 1, 2009, entered its</w:t>
      </w:r>
      <w:r w:rsidR="00917E05">
        <w:rPr>
          <w:sz w:val="26"/>
          <w:szCs w:val="26"/>
        </w:rPr>
        <w:t xml:space="preserve"> Opinion and Order at Docket No. M-00051865</w:t>
      </w:r>
      <w:r w:rsidR="00F86882">
        <w:rPr>
          <w:sz w:val="26"/>
          <w:szCs w:val="26"/>
        </w:rPr>
        <w:t xml:space="preserve"> (</w:t>
      </w:r>
      <w:r w:rsidR="00F86882" w:rsidRPr="00F86882">
        <w:rPr>
          <w:i/>
          <w:sz w:val="26"/>
          <w:szCs w:val="26"/>
        </w:rPr>
        <w:t>TRM Order</w:t>
      </w:r>
      <w:r w:rsidR="00F86882">
        <w:rPr>
          <w:sz w:val="26"/>
          <w:szCs w:val="26"/>
        </w:rPr>
        <w:t xml:space="preserve">) </w:t>
      </w:r>
      <w:r w:rsidR="00917E05">
        <w:rPr>
          <w:sz w:val="26"/>
          <w:szCs w:val="26"/>
        </w:rPr>
        <w:t>adopt</w:t>
      </w:r>
      <w:r w:rsidR="005C7BA5">
        <w:rPr>
          <w:sz w:val="26"/>
          <w:szCs w:val="26"/>
        </w:rPr>
        <w:t>ing</w:t>
      </w:r>
      <w:r w:rsidR="00917E05">
        <w:rPr>
          <w:sz w:val="26"/>
          <w:szCs w:val="26"/>
        </w:rPr>
        <w:t xml:space="preserve"> the 2009 version of the TRM.</w:t>
      </w:r>
    </w:p>
    <w:p w:rsidR="00127636" w:rsidRDefault="00127636" w:rsidP="00075E35">
      <w:pPr>
        <w:spacing w:line="360" w:lineRule="auto"/>
        <w:ind w:firstLine="1440"/>
        <w:rPr>
          <w:sz w:val="26"/>
          <w:szCs w:val="26"/>
        </w:rPr>
      </w:pPr>
    </w:p>
    <w:p w:rsidR="003E58B9" w:rsidRDefault="004D5664" w:rsidP="004A3CDD">
      <w:pPr>
        <w:spacing w:line="360" w:lineRule="auto"/>
        <w:ind w:firstLine="1440"/>
        <w:rPr>
          <w:sz w:val="26"/>
          <w:szCs w:val="26"/>
        </w:rPr>
      </w:pPr>
      <w:r>
        <w:rPr>
          <w:sz w:val="26"/>
          <w:szCs w:val="26"/>
        </w:rPr>
        <w:t>T</w:t>
      </w:r>
      <w:r w:rsidR="004A3CDD">
        <w:rPr>
          <w:sz w:val="26"/>
          <w:szCs w:val="26"/>
        </w:rPr>
        <w:t xml:space="preserve">he </w:t>
      </w:r>
      <w:r w:rsidR="004A3CDD">
        <w:rPr>
          <w:i/>
          <w:sz w:val="26"/>
          <w:szCs w:val="26"/>
        </w:rPr>
        <w:t>Implementation Order</w:t>
      </w:r>
      <w:r w:rsidR="00AD36CA">
        <w:rPr>
          <w:i/>
          <w:sz w:val="26"/>
          <w:szCs w:val="26"/>
        </w:rPr>
        <w:t>,</w:t>
      </w:r>
      <w:r w:rsidR="00453943">
        <w:rPr>
          <w:sz w:val="26"/>
          <w:szCs w:val="26"/>
        </w:rPr>
        <w:t xml:space="preserve"> </w:t>
      </w:r>
      <w:r w:rsidR="00AD36CA">
        <w:rPr>
          <w:sz w:val="26"/>
          <w:szCs w:val="26"/>
        </w:rPr>
        <w:t xml:space="preserve">at 14, </w:t>
      </w:r>
      <w:r>
        <w:rPr>
          <w:sz w:val="26"/>
          <w:szCs w:val="26"/>
        </w:rPr>
        <w:t xml:space="preserve">also </w:t>
      </w:r>
      <w:r w:rsidR="004A3CDD">
        <w:rPr>
          <w:sz w:val="26"/>
          <w:szCs w:val="26"/>
        </w:rPr>
        <w:t xml:space="preserve">noted that the Act requires that </w:t>
      </w:r>
      <w:r w:rsidR="0099619C">
        <w:rPr>
          <w:sz w:val="26"/>
          <w:szCs w:val="26"/>
        </w:rPr>
        <w:t xml:space="preserve">the Commission’s EE&amp;C Program include </w:t>
      </w:r>
      <w:r w:rsidR="005B4E52">
        <w:rPr>
          <w:sz w:val="26"/>
          <w:szCs w:val="26"/>
        </w:rPr>
        <w:t xml:space="preserve">an analysis of </w:t>
      </w:r>
      <w:r w:rsidR="004A3CDD">
        <w:rPr>
          <w:sz w:val="26"/>
          <w:szCs w:val="26"/>
        </w:rPr>
        <w:t>th</w:t>
      </w:r>
      <w:r w:rsidR="00872BC0">
        <w:rPr>
          <w:sz w:val="26"/>
          <w:szCs w:val="26"/>
        </w:rPr>
        <w:t>e cost</w:t>
      </w:r>
      <w:r w:rsidR="005B4E52">
        <w:rPr>
          <w:sz w:val="26"/>
          <w:szCs w:val="26"/>
        </w:rPr>
        <w:t>s</w:t>
      </w:r>
      <w:r w:rsidR="00872BC0">
        <w:rPr>
          <w:sz w:val="26"/>
          <w:szCs w:val="26"/>
        </w:rPr>
        <w:t xml:space="preserve"> and benefit</w:t>
      </w:r>
      <w:r w:rsidR="005B4E52">
        <w:rPr>
          <w:sz w:val="26"/>
          <w:szCs w:val="26"/>
        </w:rPr>
        <w:t>s</w:t>
      </w:r>
      <w:r w:rsidR="00872BC0">
        <w:rPr>
          <w:sz w:val="26"/>
          <w:szCs w:val="26"/>
        </w:rPr>
        <w:t xml:space="preserve"> of each </w:t>
      </w:r>
      <w:r w:rsidR="00286BE7">
        <w:rPr>
          <w:sz w:val="26"/>
          <w:szCs w:val="26"/>
        </w:rPr>
        <w:t>EDC’s</w:t>
      </w:r>
      <w:r w:rsidR="005B4E52">
        <w:rPr>
          <w:sz w:val="26"/>
          <w:szCs w:val="26"/>
        </w:rPr>
        <w:t xml:space="preserve"> plan, in accordance with a </w:t>
      </w:r>
      <w:r w:rsidR="004A3CDD">
        <w:rPr>
          <w:sz w:val="26"/>
          <w:szCs w:val="26"/>
        </w:rPr>
        <w:t>TRC Test</w:t>
      </w:r>
      <w:r w:rsidR="005B4E52">
        <w:rPr>
          <w:sz w:val="26"/>
          <w:szCs w:val="26"/>
        </w:rPr>
        <w:t xml:space="preserve"> approved by the Commission</w:t>
      </w:r>
      <w:r w:rsidR="00CE12F0">
        <w:rPr>
          <w:sz w:val="26"/>
          <w:szCs w:val="26"/>
        </w:rPr>
        <w:t>.  66 Pa. C.S. § </w:t>
      </w:r>
      <w:r w:rsidR="004A3CDD">
        <w:rPr>
          <w:sz w:val="26"/>
          <w:szCs w:val="26"/>
        </w:rPr>
        <w:t>28</w:t>
      </w:r>
      <w:r w:rsidR="0099619C">
        <w:rPr>
          <w:sz w:val="26"/>
          <w:szCs w:val="26"/>
        </w:rPr>
        <w:t xml:space="preserve">06.1(a)(3).  The Act requires </w:t>
      </w:r>
      <w:r w:rsidR="00286BE7">
        <w:rPr>
          <w:sz w:val="26"/>
          <w:szCs w:val="26"/>
        </w:rPr>
        <w:t>an</w:t>
      </w:r>
      <w:r w:rsidR="004A3CDD">
        <w:rPr>
          <w:sz w:val="26"/>
          <w:szCs w:val="26"/>
        </w:rPr>
        <w:t xml:space="preserve"> EDC to demonstrate that its p</w:t>
      </w:r>
      <w:r w:rsidR="005B4E52">
        <w:rPr>
          <w:sz w:val="26"/>
          <w:szCs w:val="26"/>
        </w:rPr>
        <w:t>lan is cost-effective using the</w:t>
      </w:r>
      <w:r w:rsidR="004A3CDD">
        <w:rPr>
          <w:sz w:val="26"/>
          <w:szCs w:val="26"/>
        </w:rPr>
        <w:t xml:space="preserve"> </w:t>
      </w:r>
      <w:r w:rsidR="005640F0">
        <w:rPr>
          <w:sz w:val="26"/>
          <w:szCs w:val="26"/>
        </w:rPr>
        <w:t>TRC Test</w:t>
      </w:r>
      <w:r w:rsidR="004A3CDD">
        <w:rPr>
          <w:sz w:val="26"/>
          <w:szCs w:val="26"/>
        </w:rPr>
        <w:t xml:space="preserve">, </w:t>
      </w:r>
      <w:r w:rsidR="005B4E52">
        <w:rPr>
          <w:sz w:val="26"/>
          <w:szCs w:val="26"/>
        </w:rPr>
        <w:t xml:space="preserve">and that the </w:t>
      </w:r>
      <w:r w:rsidR="00AD36CA">
        <w:rPr>
          <w:sz w:val="26"/>
          <w:szCs w:val="26"/>
        </w:rPr>
        <w:t xml:space="preserve">plan </w:t>
      </w:r>
      <w:r w:rsidR="004A3CDD">
        <w:rPr>
          <w:sz w:val="26"/>
          <w:szCs w:val="26"/>
        </w:rPr>
        <w:t>provide</w:t>
      </w:r>
      <w:r w:rsidR="00AD36CA">
        <w:rPr>
          <w:sz w:val="26"/>
          <w:szCs w:val="26"/>
        </w:rPr>
        <w:t>s</w:t>
      </w:r>
      <w:r w:rsidR="004A3CDD">
        <w:rPr>
          <w:sz w:val="26"/>
          <w:szCs w:val="26"/>
        </w:rPr>
        <w:t xml:space="preserve"> a diverse cross section of alternatives for customers of all rate classes.  66 Pa. C.S. § 2806.1</w:t>
      </w:r>
      <w:r w:rsidR="006146C4">
        <w:rPr>
          <w:sz w:val="26"/>
          <w:szCs w:val="26"/>
        </w:rPr>
        <w:t>(b)(1)(i)(I).  Th</w:t>
      </w:r>
      <w:r w:rsidR="006E08FF">
        <w:rPr>
          <w:sz w:val="26"/>
          <w:szCs w:val="26"/>
        </w:rPr>
        <w:t>e Act defines</w:t>
      </w:r>
      <w:r w:rsidR="006146C4">
        <w:rPr>
          <w:sz w:val="26"/>
          <w:szCs w:val="26"/>
        </w:rPr>
        <w:t xml:space="preserve"> </w:t>
      </w:r>
      <w:r w:rsidR="005B4E52">
        <w:rPr>
          <w:sz w:val="26"/>
          <w:szCs w:val="26"/>
        </w:rPr>
        <w:t xml:space="preserve">a </w:t>
      </w:r>
      <w:r w:rsidR="006146C4">
        <w:rPr>
          <w:sz w:val="26"/>
          <w:szCs w:val="26"/>
        </w:rPr>
        <w:t>“total resource cost test” as “a standard test that is met if, over the effective life of each plan not to exceed 15 years, the net present value of the avoided monetary cost of supplying electricity is greater than the net present value of the monetary cost of energy efficiency conservation measures.”  66 Pa. C.S. § 2806.1(m).</w:t>
      </w:r>
      <w:r w:rsidR="003E58B9">
        <w:rPr>
          <w:sz w:val="26"/>
          <w:szCs w:val="26"/>
        </w:rPr>
        <w:t xml:space="preserve">  </w:t>
      </w:r>
    </w:p>
    <w:p w:rsidR="003E58B9" w:rsidRDefault="003E58B9" w:rsidP="004A3CDD">
      <w:pPr>
        <w:spacing w:line="360" w:lineRule="auto"/>
        <w:ind w:firstLine="1440"/>
        <w:rPr>
          <w:sz w:val="26"/>
          <w:szCs w:val="26"/>
        </w:rPr>
      </w:pPr>
    </w:p>
    <w:p w:rsidR="001A395D" w:rsidRPr="00C144C3" w:rsidRDefault="003E58B9" w:rsidP="004A3CDD">
      <w:pPr>
        <w:spacing w:line="360" w:lineRule="auto"/>
        <w:ind w:firstLine="1440"/>
        <w:rPr>
          <w:sz w:val="26"/>
          <w:szCs w:val="26"/>
        </w:rPr>
      </w:pPr>
      <w:r>
        <w:rPr>
          <w:sz w:val="26"/>
          <w:szCs w:val="26"/>
        </w:rPr>
        <w:t xml:space="preserve">The Commission stated </w:t>
      </w:r>
      <w:r w:rsidR="00C144C3">
        <w:rPr>
          <w:sz w:val="26"/>
          <w:szCs w:val="26"/>
        </w:rPr>
        <w:t xml:space="preserve">in the </w:t>
      </w:r>
      <w:r w:rsidR="00C144C3">
        <w:rPr>
          <w:i/>
          <w:sz w:val="26"/>
          <w:szCs w:val="26"/>
        </w:rPr>
        <w:t>Implementation Order</w:t>
      </w:r>
      <w:r w:rsidR="00C144C3">
        <w:rPr>
          <w:sz w:val="26"/>
          <w:szCs w:val="26"/>
        </w:rPr>
        <w:t xml:space="preserve"> </w:t>
      </w:r>
      <w:r>
        <w:rPr>
          <w:sz w:val="26"/>
          <w:szCs w:val="26"/>
        </w:rPr>
        <w:t xml:space="preserve">that the </w:t>
      </w:r>
      <w:r w:rsidR="005640F0">
        <w:rPr>
          <w:sz w:val="26"/>
          <w:szCs w:val="26"/>
        </w:rPr>
        <w:t>TRC Test</w:t>
      </w:r>
      <w:r>
        <w:rPr>
          <w:sz w:val="26"/>
          <w:szCs w:val="26"/>
        </w:rPr>
        <w:t xml:space="preserve"> set forth in </w:t>
      </w:r>
      <w:r>
        <w:rPr>
          <w:i/>
          <w:sz w:val="26"/>
          <w:szCs w:val="26"/>
        </w:rPr>
        <w:t xml:space="preserve">The California Standard Practice Manual – Economic Analysis of Demand-Side </w:t>
      </w:r>
      <w:r>
        <w:rPr>
          <w:i/>
          <w:sz w:val="26"/>
          <w:szCs w:val="26"/>
        </w:rPr>
        <w:lastRenderedPageBreak/>
        <w:t>Programs and Projects,</w:t>
      </w:r>
      <w:r>
        <w:rPr>
          <w:sz w:val="26"/>
          <w:szCs w:val="26"/>
        </w:rPr>
        <w:t xml:space="preserve"> July 2002,</w:t>
      </w:r>
      <w:r>
        <w:rPr>
          <w:rStyle w:val="FootnoteReference"/>
          <w:sz w:val="26"/>
          <w:szCs w:val="26"/>
        </w:rPr>
        <w:footnoteReference w:id="3"/>
      </w:r>
      <w:r w:rsidR="00127636">
        <w:rPr>
          <w:sz w:val="26"/>
          <w:szCs w:val="26"/>
        </w:rPr>
        <w:t xml:space="preserve"> (</w:t>
      </w:r>
      <w:r w:rsidR="00127636" w:rsidRPr="00127636">
        <w:rPr>
          <w:i/>
          <w:sz w:val="26"/>
          <w:szCs w:val="26"/>
        </w:rPr>
        <w:t>California Manual</w:t>
      </w:r>
      <w:r w:rsidR="00127636">
        <w:rPr>
          <w:sz w:val="26"/>
          <w:szCs w:val="26"/>
        </w:rPr>
        <w:t xml:space="preserve">) provides a starting point, but acknowledged that modifications might be necessary to meet any unique requirements of Act 129 and Pennsylvania’s electric industry.  The Commission therefore instituted a separate proceeding </w:t>
      </w:r>
      <w:r w:rsidR="00872BC0">
        <w:rPr>
          <w:sz w:val="26"/>
          <w:szCs w:val="26"/>
        </w:rPr>
        <w:t xml:space="preserve">at Docket No. M-2009-2108601 </w:t>
      </w:r>
      <w:r w:rsidR="00127636">
        <w:rPr>
          <w:sz w:val="26"/>
          <w:szCs w:val="26"/>
        </w:rPr>
        <w:t xml:space="preserve">to review the </w:t>
      </w:r>
      <w:r w:rsidR="00127636" w:rsidRPr="00127636">
        <w:rPr>
          <w:i/>
          <w:sz w:val="26"/>
          <w:szCs w:val="26"/>
        </w:rPr>
        <w:t>California Manual</w:t>
      </w:r>
      <w:r w:rsidR="00127636">
        <w:rPr>
          <w:i/>
          <w:sz w:val="26"/>
          <w:szCs w:val="26"/>
        </w:rPr>
        <w:t>.</w:t>
      </w:r>
      <w:r w:rsidR="006E08FF">
        <w:rPr>
          <w:i/>
          <w:sz w:val="26"/>
          <w:szCs w:val="26"/>
        </w:rPr>
        <w:t xml:space="preserve">  </w:t>
      </w:r>
      <w:r w:rsidR="00C144C3">
        <w:rPr>
          <w:sz w:val="26"/>
          <w:szCs w:val="26"/>
        </w:rPr>
        <w:t xml:space="preserve">On May 29, 2009, the Commission circulated a </w:t>
      </w:r>
      <w:r w:rsidR="005640F0">
        <w:rPr>
          <w:sz w:val="26"/>
          <w:szCs w:val="26"/>
        </w:rPr>
        <w:t>TRC Test</w:t>
      </w:r>
      <w:r w:rsidR="00C144C3">
        <w:rPr>
          <w:sz w:val="26"/>
          <w:szCs w:val="26"/>
        </w:rPr>
        <w:t xml:space="preserve"> proposal and requested comments relative to TRC testing in Pennsylvania.  </w:t>
      </w:r>
      <w:r w:rsidR="00BC4922">
        <w:rPr>
          <w:sz w:val="26"/>
          <w:szCs w:val="26"/>
        </w:rPr>
        <w:t>By</w:t>
      </w:r>
      <w:r w:rsidR="00CE12F0">
        <w:rPr>
          <w:sz w:val="26"/>
          <w:szCs w:val="26"/>
        </w:rPr>
        <w:t xml:space="preserve"> Opinion and Order entered June </w:t>
      </w:r>
      <w:r w:rsidR="00DD63B0">
        <w:rPr>
          <w:sz w:val="26"/>
          <w:szCs w:val="26"/>
        </w:rPr>
        <w:t>23</w:t>
      </w:r>
      <w:r w:rsidR="00BC4922">
        <w:rPr>
          <w:sz w:val="26"/>
          <w:szCs w:val="26"/>
        </w:rPr>
        <w:t>, 2009</w:t>
      </w:r>
      <w:r w:rsidR="00670E8E">
        <w:rPr>
          <w:sz w:val="26"/>
          <w:szCs w:val="26"/>
        </w:rPr>
        <w:t>,</w:t>
      </w:r>
      <w:r w:rsidR="00BC4922">
        <w:rPr>
          <w:sz w:val="26"/>
          <w:szCs w:val="26"/>
        </w:rPr>
        <w:t xml:space="preserve"> at Docket No. M-2009-2108601</w:t>
      </w:r>
      <w:r w:rsidR="004475C9">
        <w:rPr>
          <w:sz w:val="26"/>
          <w:szCs w:val="26"/>
        </w:rPr>
        <w:t xml:space="preserve"> </w:t>
      </w:r>
      <w:r w:rsidR="00AD36CA">
        <w:rPr>
          <w:i/>
          <w:sz w:val="26"/>
          <w:szCs w:val="26"/>
        </w:rPr>
        <w:t xml:space="preserve">In re:  Implementation of Act 129 of 2008 – Total Resource Cost (TRC) Test </w:t>
      </w:r>
      <w:r w:rsidR="004475C9">
        <w:rPr>
          <w:sz w:val="26"/>
          <w:szCs w:val="26"/>
        </w:rPr>
        <w:t>(</w:t>
      </w:r>
      <w:r w:rsidR="004475C9" w:rsidRPr="004475C9">
        <w:rPr>
          <w:i/>
          <w:sz w:val="26"/>
          <w:szCs w:val="26"/>
        </w:rPr>
        <w:t xml:space="preserve">TRC </w:t>
      </w:r>
      <w:r w:rsidR="00AD36CA">
        <w:rPr>
          <w:i/>
          <w:sz w:val="26"/>
          <w:szCs w:val="26"/>
        </w:rPr>
        <w:t xml:space="preserve">Test </w:t>
      </w:r>
      <w:r w:rsidR="004475C9" w:rsidRPr="004475C9">
        <w:rPr>
          <w:i/>
          <w:sz w:val="26"/>
          <w:szCs w:val="26"/>
        </w:rPr>
        <w:t>Order</w:t>
      </w:r>
      <w:r w:rsidR="004475C9">
        <w:rPr>
          <w:sz w:val="26"/>
          <w:szCs w:val="26"/>
        </w:rPr>
        <w:t>)</w:t>
      </w:r>
      <w:r w:rsidR="00BC4922">
        <w:rPr>
          <w:sz w:val="26"/>
          <w:szCs w:val="26"/>
        </w:rPr>
        <w:t xml:space="preserve">, the Commission set forth the nature of the </w:t>
      </w:r>
      <w:r w:rsidR="005640F0">
        <w:rPr>
          <w:sz w:val="26"/>
          <w:szCs w:val="26"/>
        </w:rPr>
        <w:t>TRC Test</w:t>
      </w:r>
      <w:r w:rsidR="00BC4922">
        <w:rPr>
          <w:sz w:val="26"/>
          <w:szCs w:val="26"/>
        </w:rPr>
        <w:t xml:space="preserve"> to be used in Pennsylvania.</w:t>
      </w:r>
    </w:p>
    <w:p w:rsidR="00127636" w:rsidRDefault="00127636" w:rsidP="004A3CDD">
      <w:pPr>
        <w:spacing w:line="360" w:lineRule="auto"/>
        <w:ind w:firstLine="1440"/>
        <w:rPr>
          <w:i/>
          <w:sz w:val="26"/>
          <w:szCs w:val="26"/>
        </w:rPr>
      </w:pPr>
    </w:p>
    <w:p w:rsidR="00720949" w:rsidRDefault="00720949" w:rsidP="004A3CDD">
      <w:pPr>
        <w:spacing w:line="360" w:lineRule="auto"/>
        <w:ind w:firstLine="1440"/>
        <w:rPr>
          <w:sz w:val="26"/>
          <w:szCs w:val="26"/>
        </w:rPr>
      </w:pPr>
      <w:r>
        <w:rPr>
          <w:sz w:val="26"/>
          <w:szCs w:val="26"/>
        </w:rPr>
        <w:t xml:space="preserve">Finally, on </w:t>
      </w:r>
      <w:r w:rsidRPr="00B85AAE">
        <w:rPr>
          <w:sz w:val="26"/>
          <w:szCs w:val="26"/>
        </w:rPr>
        <w:t>April 21, 2009, the Commission issued a Request for Proposals</w:t>
      </w:r>
      <w:r w:rsidR="00FC6949">
        <w:rPr>
          <w:sz w:val="26"/>
          <w:szCs w:val="26"/>
        </w:rPr>
        <w:t>,</w:t>
      </w:r>
      <w:r w:rsidR="00B85AAE" w:rsidRPr="00B85AAE">
        <w:rPr>
          <w:sz w:val="26"/>
          <w:szCs w:val="26"/>
        </w:rPr>
        <w:t xml:space="preserve"> seeking </w:t>
      </w:r>
      <w:r w:rsidRPr="00B85AAE">
        <w:rPr>
          <w:sz w:val="26"/>
          <w:szCs w:val="26"/>
        </w:rPr>
        <w:t>an Act 129 Statewide Evaluator</w:t>
      </w:r>
      <w:r w:rsidR="00B85AAE" w:rsidRPr="00B85AAE">
        <w:rPr>
          <w:sz w:val="26"/>
          <w:szCs w:val="26"/>
        </w:rPr>
        <w:t xml:space="preserve"> to </w:t>
      </w:r>
      <w:r w:rsidR="00B85AAE">
        <w:rPr>
          <w:sz w:val="26"/>
          <w:szCs w:val="26"/>
        </w:rPr>
        <w:t>assist in evaluating</w:t>
      </w:r>
      <w:r w:rsidR="00B85AAE" w:rsidRPr="00B85AAE">
        <w:rPr>
          <w:sz w:val="26"/>
          <w:szCs w:val="26"/>
        </w:rPr>
        <w:t xml:space="preserve"> the EDCs’ </w:t>
      </w:r>
      <w:r w:rsidR="00B85AAE">
        <w:rPr>
          <w:sz w:val="26"/>
          <w:szCs w:val="26"/>
        </w:rPr>
        <w:t xml:space="preserve">EE&amp;C </w:t>
      </w:r>
      <w:r w:rsidR="00B85AAE" w:rsidRPr="00B85AAE">
        <w:rPr>
          <w:sz w:val="26"/>
          <w:szCs w:val="26"/>
        </w:rPr>
        <w:t>programs.</w:t>
      </w:r>
      <w:r w:rsidR="00B85AAE">
        <w:rPr>
          <w:sz w:val="26"/>
          <w:szCs w:val="26"/>
        </w:rPr>
        <w:t xml:space="preserve">  At its Public Meeting of </w:t>
      </w:r>
      <w:r w:rsidR="006573A1">
        <w:rPr>
          <w:sz w:val="26"/>
          <w:szCs w:val="26"/>
        </w:rPr>
        <w:t>June 25, 2009, the Commission selected GDS Associates Inc. Engineers and Consultants as the Act 129 Statewide Evaluator.</w:t>
      </w:r>
    </w:p>
    <w:p w:rsidR="007D0396" w:rsidRDefault="007D0396" w:rsidP="004A3CDD">
      <w:pPr>
        <w:spacing w:line="360" w:lineRule="auto"/>
        <w:ind w:firstLine="1440"/>
        <w:rPr>
          <w:sz w:val="26"/>
          <w:szCs w:val="26"/>
        </w:rPr>
      </w:pPr>
    </w:p>
    <w:p w:rsidR="007D0396" w:rsidRDefault="00CE0BC7" w:rsidP="007D0396">
      <w:pPr>
        <w:pStyle w:val="Heading2"/>
      </w:pPr>
      <w:bookmarkStart w:id="6" w:name="_Toc242516216"/>
      <w:bookmarkStart w:id="7" w:name="_Toc244499272"/>
      <w:r>
        <w:t>B.</w:t>
      </w:r>
      <w:r>
        <w:tab/>
        <w:t xml:space="preserve">The </w:t>
      </w:r>
      <w:r w:rsidR="007D0396">
        <w:t>Companies</w:t>
      </w:r>
      <w:bookmarkEnd w:id="6"/>
      <w:bookmarkEnd w:id="7"/>
    </w:p>
    <w:p w:rsidR="00AB42A6" w:rsidRDefault="00AB42A6" w:rsidP="004A3CDD">
      <w:pPr>
        <w:spacing w:line="360" w:lineRule="auto"/>
        <w:ind w:firstLine="1440"/>
        <w:rPr>
          <w:sz w:val="26"/>
          <w:szCs w:val="26"/>
        </w:rPr>
      </w:pPr>
    </w:p>
    <w:p w:rsidR="007D0396" w:rsidRDefault="007D0396" w:rsidP="004A3CDD">
      <w:pPr>
        <w:spacing w:line="360" w:lineRule="auto"/>
        <w:ind w:firstLine="1440"/>
        <w:rPr>
          <w:sz w:val="26"/>
          <w:szCs w:val="26"/>
        </w:rPr>
      </w:pPr>
      <w:r>
        <w:rPr>
          <w:sz w:val="26"/>
          <w:szCs w:val="26"/>
        </w:rPr>
        <w:t>Met Ed is a wholly-owned subsidiary of FirstEnergy.  It provides service to about 547,000 electric utility customers in eastern Pennsylvania.  It owns the transmission facilities in its service territory, which are under the operational control of PJM Interconnection, LLC (PJM) as the regional transmission organization (RTO).</w:t>
      </w:r>
      <w:r w:rsidR="00B87C55">
        <w:rPr>
          <w:sz w:val="26"/>
          <w:szCs w:val="26"/>
        </w:rPr>
        <w:t xml:space="preserve">  FirstEnergy St. 1 at 4.</w:t>
      </w:r>
    </w:p>
    <w:p w:rsidR="007D0396" w:rsidRDefault="007D0396" w:rsidP="004A3CDD">
      <w:pPr>
        <w:spacing w:line="360" w:lineRule="auto"/>
        <w:ind w:firstLine="1440"/>
        <w:rPr>
          <w:sz w:val="26"/>
          <w:szCs w:val="26"/>
        </w:rPr>
      </w:pPr>
    </w:p>
    <w:p w:rsidR="007D0396" w:rsidRDefault="00B87C55" w:rsidP="004A3CDD">
      <w:pPr>
        <w:spacing w:line="360" w:lineRule="auto"/>
        <w:ind w:firstLine="1440"/>
        <w:rPr>
          <w:sz w:val="26"/>
          <w:szCs w:val="26"/>
        </w:rPr>
      </w:pPr>
      <w:r>
        <w:rPr>
          <w:sz w:val="26"/>
          <w:szCs w:val="26"/>
        </w:rPr>
        <w:t xml:space="preserve">Penelec is </w:t>
      </w:r>
      <w:r w:rsidR="007C4079">
        <w:rPr>
          <w:sz w:val="26"/>
          <w:szCs w:val="26"/>
        </w:rPr>
        <w:t>also a wholly-owned subsidiary of FirstEnergy.  It provides service to about 588,000 electric utility customers in western Pennsylvania.  It owns the transmission facilities in its service territory, which are under the operational control of PJM.  FirstEnergy St. 1 at 4.</w:t>
      </w:r>
    </w:p>
    <w:p w:rsidR="007C4079" w:rsidRDefault="007C4079" w:rsidP="004A3CDD">
      <w:pPr>
        <w:spacing w:line="360" w:lineRule="auto"/>
        <w:ind w:firstLine="1440"/>
        <w:rPr>
          <w:sz w:val="26"/>
          <w:szCs w:val="26"/>
        </w:rPr>
      </w:pPr>
    </w:p>
    <w:p w:rsidR="007D0396" w:rsidRDefault="007C4079" w:rsidP="004A3CDD">
      <w:pPr>
        <w:spacing w:line="360" w:lineRule="auto"/>
        <w:ind w:firstLine="1440"/>
        <w:rPr>
          <w:sz w:val="26"/>
          <w:szCs w:val="26"/>
        </w:rPr>
      </w:pPr>
      <w:r>
        <w:rPr>
          <w:sz w:val="26"/>
          <w:szCs w:val="26"/>
        </w:rPr>
        <w:t xml:space="preserve">Penn Power is a wholly-owned subsidiary of Ohio Edison Company, which is, in turn, a wholly-owned subsidiary of FirstEnergy.  It provides service to about 159,000 electric utility customers in western Pennsylvania.  </w:t>
      </w:r>
      <w:r w:rsidR="00EF0406">
        <w:rPr>
          <w:sz w:val="26"/>
          <w:szCs w:val="26"/>
        </w:rPr>
        <w:t xml:space="preserve">Several years ago, Penn Power sold its transmission facilities to American Transmission System, Inc., a wholly-owned subsidiary of FirstEnergy Corp.  These transmission facilities are under the operational control of the Midwest Independent </w:t>
      </w:r>
      <w:r w:rsidR="002B5913">
        <w:rPr>
          <w:sz w:val="26"/>
          <w:szCs w:val="26"/>
        </w:rPr>
        <w:t xml:space="preserve">Transmission </w:t>
      </w:r>
      <w:r w:rsidR="00EF0406">
        <w:rPr>
          <w:sz w:val="26"/>
          <w:szCs w:val="26"/>
        </w:rPr>
        <w:t>System Operator, Inc. (MISO) as the RTO.</w:t>
      </w:r>
      <w:r w:rsidR="00390C8D">
        <w:rPr>
          <w:sz w:val="26"/>
          <w:szCs w:val="26"/>
        </w:rPr>
        <w:t xml:space="preserve">  FirstEnergy St. 1 at 4-5.</w:t>
      </w:r>
      <w:r w:rsidR="006F4132">
        <w:rPr>
          <w:sz w:val="26"/>
          <w:szCs w:val="26"/>
        </w:rPr>
        <w:t xml:space="preserve">  Penn Power, however, has announced that it intends to join PJM in 2011.  OCA St. 1 at 42.</w:t>
      </w:r>
    </w:p>
    <w:p w:rsidR="007D0396" w:rsidRPr="00B85AAE" w:rsidRDefault="007D0396" w:rsidP="004A3CDD">
      <w:pPr>
        <w:spacing w:line="360" w:lineRule="auto"/>
        <w:ind w:firstLine="1440"/>
        <w:rPr>
          <w:sz w:val="26"/>
          <w:szCs w:val="26"/>
        </w:rPr>
      </w:pPr>
    </w:p>
    <w:p w:rsidR="004933B3" w:rsidRDefault="004933B3">
      <w:pPr>
        <w:spacing w:after="200" w:line="276" w:lineRule="auto"/>
        <w:rPr>
          <w:rFonts w:eastAsiaTheme="majorEastAsia" w:cstheme="majorBidi"/>
          <w:b/>
          <w:bCs/>
          <w:sz w:val="26"/>
          <w:szCs w:val="26"/>
        </w:rPr>
      </w:pPr>
      <w:bookmarkStart w:id="8" w:name="_Toc242516217"/>
      <w:r>
        <w:rPr>
          <w:szCs w:val="26"/>
        </w:rPr>
        <w:br w:type="page"/>
      </w:r>
    </w:p>
    <w:p w:rsidR="00B830F4" w:rsidRPr="0056717C" w:rsidRDefault="00B830F4" w:rsidP="00B830F4">
      <w:pPr>
        <w:pStyle w:val="Heading1"/>
        <w:rPr>
          <w:szCs w:val="26"/>
        </w:rPr>
      </w:pPr>
      <w:bookmarkStart w:id="9" w:name="_Toc244499273"/>
      <w:r>
        <w:rPr>
          <w:szCs w:val="26"/>
        </w:rPr>
        <w:lastRenderedPageBreak/>
        <w:t xml:space="preserve">III.  </w:t>
      </w:r>
      <w:r>
        <w:rPr>
          <w:szCs w:val="26"/>
        </w:rPr>
        <w:tab/>
        <w:t>Procedural History</w:t>
      </w:r>
      <w:bookmarkEnd w:id="8"/>
      <w:bookmarkEnd w:id="9"/>
      <w:r w:rsidRPr="0056717C">
        <w:rPr>
          <w:szCs w:val="26"/>
        </w:rPr>
        <w:t xml:space="preserve"> </w:t>
      </w:r>
    </w:p>
    <w:p w:rsidR="00B830F4" w:rsidRDefault="00B830F4" w:rsidP="001A395D">
      <w:pPr>
        <w:spacing w:line="360" w:lineRule="auto"/>
        <w:rPr>
          <w:sz w:val="26"/>
          <w:szCs w:val="26"/>
        </w:rPr>
      </w:pPr>
    </w:p>
    <w:p w:rsidR="00464407" w:rsidRDefault="00F420DE" w:rsidP="00F15DBB">
      <w:pPr>
        <w:spacing w:line="360" w:lineRule="auto"/>
        <w:ind w:firstLine="1440"/>
        <w:rPr>
          <w:sz w:val="26"/>
          <w:szCs w:val="26"/>
        </w:rPr>
      </w:pPr>
      <w:r>
        <w:rPr>
          <w:sz w:val="26"/>
          <w:szCs w:val="26"/>
        </w:rPr>
        <w:t xml:space="preserve">As stated above, </w:t>
      </w:r>
      <w:r w:rsidR="00DB2BCE">
        <w:rPr>
          <w:sz w:val="26"/>
          <w:szCs w:val="26"/>
        </w:rPr>
        <w:t>FirstEnergy filed</w:t>
      </w:r>
      <w:r>
        <w:rPr>
          <w:sz w:val="26"/>
          <w:szCs w:val="26"/>
        </w:rPr>
        <w:t xml:space="preserve"> </w:t>
      </w:r>
      <w:r w:rsidR="00DB2BCE">
        <w:rPr>
          <w:sz w:val="26"/>
          <w:szCs w:val="26"/>
        </w:rPr>
        <w:t xml:space="preserve">the </w:t>
      </w:r>
      <w:r w:rsidR="00E255A4">
        <w:rPr>
          <w:sz w:val="26"/>
          <w:szCs w:val="26"/>
        </w:rPr>
        <w:t xml:space="preserve">Joint Petition </w:t>
      </w:r>
      <w:r w:rsidR="00EC7F85">
        <w:rPr>
          <w:sz w:val="26"/>
          <w:szCs w:val="26"/>
        </w:rPr>
        <w:t>on July 1, 2009</w:t>
      </w:r>
      <w:r w:rsidR="00670E8E">
        <w:rPr>
          <w:sz w:val="26"/>
          <w:szCs w:val="26"/>
        </w:rPr>
        <w:t>,</w:t>
      </w:r>
      <w:r w:rsidR="00EC7F85">
        <w:rPr>
          <w:sz w:val="26"/>
          <w:szCs w:val="26"/>
        </w:rPr>
        <w:t xml:space="preserve"> requesting Commission approval of the Plans </w:t>
      </w:r>
      <w:r w:rsidR="00AC57B8">
        <w:rPr>
          <w:sz w:val="26"/>
          <w:szCs w:val="26"/>
        </w:rPr>
        <w:t xml:space="preserve">as well as </w:t>
      </w:r>
      <w:r w:rsidR="00EC7F85">
        <w:rPr>
          <w:sz w:val="26"/>
          <w:szCs w:val="26"/>
        </w:rPr>
        <w:t xml:space="preserve">authorization to implement the proposed </w:t>
      </w:r>
      <w:r w:rsidR="00E657CB">
        <w:rPr>
          <w:sz w:val="26"/>
          <w:szCs w:val="26"/>
        </w:rPr>
        <w:t>cost recovery mechanism</w:t>
      </w:r>
      <w:r w:rsidR="00EC7F85">
        <w:rPr>
          <w:sz w:val="26"/>
          <w:szCs w:val="26"/>
        </w:rPr>
        <w:t>.  FirstEnergy also requested</w:t>
      </w:r>
      <w:r w:rsidR="00CB2A96">
        <w:rPr>
          <w:sz w:val="26"/>
          <w:szCs w:val="26"/>
        </w:rPr>
        <w:t xml:space="preserve">, </w:t>
      </w:r>
      <w:r w:rsidR="00CB2A96" w:rsidRPr="00CB2A96">
        <w:rPr>
          <w:i/>
          <w:sz w:val="26"/>
          <w:szCs w:val="26"/>
        </w:rPr>
        <w:t>inter alia</w:t>
      </w:r>
      <w:r w:rsidR="00CB2A96">
        <w:rPr>
          <w:sz w:val="26"/>
          <w:szCs w:val="26"/>
        </w:rPr>
        <w:t xml:space="preserve">, </w:t>
      </w:r>
      <w:r w:rsidR="00EC7F85">
        <w:rPr>
          <w:sz w:val="26"/>
          <w:szCs w:val="26"/>
        </w:rPr>
        <w:t>consolidation of the Plans for review and approval</w:t>
      </w:r>
      <w:r w:rsidR="00AC57B8">
        <w:rPr>
          <w:sz w:val="26"/>
          <w:szCs w:val="26"/>
        </w:rPr>
        <w:t>.  Joint Petition at ¶</w:t>
      </w:r>
      <w:r w:rsidR="008F0AB6">
        <w:rPr>
          <w:sz w:val="26"/>
          <w:szCs w:val="26"/>
        </w:rPr>
        <w:t xml:space="preserve">¶ 8, 13, 37 and </w:t>
      </w:r>
      <w:r w:rsidR="00AC57B8">
        <w:rPr>
          <w:sz w:val="26"/>
          <w:szCs w:val="26"/>
        </w:rPr>
        <w:t>38</w:t>
      </w:r>
      <w:r w:rsidR="008F0AB6">
        <w:rPr>
          <w:sz w:val="26"/>
          <w:szCs w:val="26"/>
        </w:rPr>
        <w:t>.</w:t>
      </w:r>
      <w:r w:rsidR="00464407">
        <w:rPr>
          <w:sz w:val="26"/>
          <w:szCs w:val="26"/>
        </w:rPr>
        <w:t xml:space="preserve">  </w:t>
      </w:r>
    </w:p>
    <w:p w:rsidR="00464407" w:rsidRDefault="00464407" w:rsidP="00F15DBB">
      <w:pPr>
        <w:spacing w:line="360" w:lineRule="auto"/>
        <w:ind w:firstLine="1440"/>
        <w:rPr>
          <w:sz w:val="26"/>
          <w:szCs w:val="26"/>
        </w:rPr>
      </w:pPr>
    </w:p>
    <w:p w:rsidR="00085623" w:rsidRDefault="00DF68A3" w:rsidP="00F15DBB">
      <w:pPr>
        <w:spacing w:line="360" w:lineRule="auto"/>
        <w:ind w:firstLine="1440"/>
        <w:rPr>
          <w:sz w:val="26"/>
          <w:szCs w:val="26"/>
        </w:rPr>
      </w:pPr>
      <w:r>
        <w:rPr>
          <w:sz w:val="26"/>
          <w:szCs w:val="26"/>
        </w:rPr>
        <w:t xml:space="preserve">On </w:t>
      </w:r>
      <w:r w:rsidR="00085623">
        <w:rPr>
          <w:sz w:val="26"/>
          <w:szCs w:val="26"/>
        </w:rPr>
        <w:t>July 13, 2009, FirstEnergy filed a Petition for a Protective Order Covering the Production of Confidential Material.  By</w:t>
      </w:r>
      <w:r w:rsidR="00CE12F0">
        <w:rPr>
          <w:sz w:val="26"/>
          <w:szCs w:val="26"/>
        </w:rPr>
        <w:t xml:space="preserve"> Order dated July 16, 2009, ALJ </w:t>
      </w:r>
      <w:r w:rsidR="00085623">
        <w:rPr>
          <w:sz w:val="26"/>
          <w:szCs w:val="26"/>
        </w:rPr>
        <w:t>Salapa granted this Petition.</w:t>
      </w:r>
    </w:p>
    <w:p w:rsidR="00085623" w:rsidRDefault="00085623" w:rsidP="00F15DBB">
      <w:pPr>
        <w:spacing w:line="360" w:lineRule="auto"/>
        <w:ind w:firstLine="1440"/>
        <w:rPr>
          <w:sz w:val="26"/>
          <w:szCs w:val="26"/>
        </w:rPr>
      </w:pPr>
    </w:p>
    <w:p w:rsidR="00D359A7" w:rsidRDefault="00D359A7" w:rsidP="00F15DBB">
      <w:pPr>
        <w:spacing w:line="360" w:lineRule="auto"/>
        <w:ind w:firstLine="1440"/>
        <w:rPr>
          <w:sz w:val="26"/>
          <w:szCs w:val="26"/>
        </w:rPr>
      </w:pPr>
      <w:r>
        <w:rPr>
          <w:sz w:val="26"/>
          <w:szCs w:val="26"/>
        </w:rPr>
        <w:t xml:space="preserve"> </w:t>
      </w:r>
      <w:r w:rsidR="00085623">
        <w:rPr>
          <w:sz w:val="26"/>
          <w:szCs w:val="26"/>
        </w:rPr>
        <w:t>On July 29, 2009, ALJ Salap</w:t>
      </w:r>
      <w:r>
        <w:rPr>
          <w:sz w:val="26"/>
          <w:szCs w:val="26"/>
        </w:rPr>
        <w:t xml:space="preserve">a </w:t>
      </w:r>
      <w:r w:rsidR="00085623">
        <w:rPr>
          <w:sz w:val="26"/>
          <w:szCs w:val="26"/>
        </w:rPr>
        <w:t xml:space="preserve">conducted a </w:t>
      </w:r>
      <w:r>
        <w:rPr>
          <w:sz w:val="26"/>
          <w:szCs w:val="26"/>
        </w:rPr>
        <w:t>Prehearing Conference</w:t>
      </w:r>
      <w:r w:rsidR="00085623">
        <w:rPr>
          <w:sz w:val="26"/>
          <w:szCs w:val="26"/>
        </w:rPr>
        <w:t>.</w:t>
      </w:r>
      <w:r w:rsidR="00331F5D">
        <w:rPr>
          <w:sz w:val="26"/>
          <w:szCs w:val="26"/>
        </w:rPr>
        <w:t xml:space="preserve">  ALJ </w:t>
      </w:r>
      <w:r>
        <w:rPr>
          <w:sz w:val="26"/>
          <w:szCs w:val="26"/>
        </w:rPr>
        <w:t>Salapa subsequently issued Prehearing Order #2, which</w:t>
      </w:r>
      <w:r w:rsidR="00324E9E">
        <w:rPr>
          <w:sz w:val="26"/>
          <w:szCs w:val="26"/>
        </w:rPr>
        <w:t xml:space="preserve">, </w:t>
      </w:r>
      <w:r w:rsidR="00324E9E" w:rsidRPr="00324E9E">
        <w:rPr>
          <w:i/>
          <w:sz w:val="26"/>
          <w:szCs w:val="26"/>
        </w:rPr>
        <w:t>inter alia</w:t>
      </w:r>
      <w:r w:rsidR="00324E9E">
        <w:rPr>
          <w:sz w:val="26"/>
          <w:szCs w:val="26"/>
        </w:rPr>
        <w:t xml:space="preserve">, </w:t>
      </w:r>
      <w:r>
        <w:rPr>
          <w:sz w:val="26"/>
          <w:szCs w:val="26"/>
        </w:rPr>
        <w:t xml:space="preserve">consolidated the EE&amp;C Plans of Met Ed, Penelec and Penn Power for </w:t>
      </w:r>
      <w:r w:rsidR="00324E9E">
        <w:rPr>
          <w:sz w:val="26"/>
          <w:szCs w:val="26"/>
        </w:rPr>
        <w:t>purposes of hearing and decision</w:t>
      </w:r>
      <w:r>
        <w:rPr>
          <w:sz w:val="26"/>
          <w:szCs w:val="26"/>
        </w:rPr>
        <w:t xml:space="preserve">.  </w:t>
      </w:r>
    </w:p>
    <w:p w:rsidR="00D359A7" w:rsidRDefault="00D359A7" w:rsidP="00F15DBB">
      <w:pPr>
        <w:spacing w:line="360" w:lineRule="auto"/>
        <w:ind w:firstLine="1440"/>
        <w:rPr>
          <w:sz w:val="26"/>
          <w:szCs w:val="26"/>
        </w:rPr>
      </w:pPr>
    </w:p>
    <w:p w:rsidR="00E83B58" w:rsidRDefault="00464407" w:rsidP="00F15DBB">
      <w:pPr>
        <w:spacing w:line="360" w:lineRule="auto"/>
        <w:ind w:firstLine="1440"/>
        <w:rPr>
          <w:sz w:val="26"/>
          <w:szCs w:val="26"/>
        </w:rPr>
      </w:pPr>
      <w:r>
        <w:rPr>
          <w:sz w:val="26"/>
          <w:szCs w:val="26"/>
        </w:rPr>
        <w:t xml:space="preserve">On July 31, 2009, FirstEnergy filed </w:t>
      </w:r>
      <w:r w:rsidR="00D359A7">
        <w:rPr>
          <w:sz w:val="26"/>
          <w:szCs w:val="26"/>
        </w:rPr>
        <w:t xml:space="preserve">EE&amp;C </w:t>
      </w:r>
      <w:r>
        <w:rPr>
          <w:sz w:val="26"/>
          <w:szCs w:val="26"/>
        </w:rPr>
        <w:t>Plan supplements “in accordance with</w:t>
      </w:r>
      <w:r w:rsidR="00324E9E">
        <w:rPr>
          <w:sz w:val="26"/>
          <w:szCs w:val="26"/>
        </w:rPr>
        <w:t>”</w:t>
      </w:r>
      <w:r>
        <w:rPr>
          <w:sz w:val="26"/>
          <w:szCs w:val="26"/>
        </w:rPr>
        <w:t xml:space="preserve"> the</w:t>
      </w:r>
      <w:r w:rsidR="00FA1A82">
        <w:rPr>
          <w:sz w:val="26"/>
          <w:szCs w:val="26"/>
        </w:rPr>
        <w:t xml:space="preserve"> </w:t>
      </w:r>
      <w:r w:rsidR="00CE335D">
        <w:rPr>
          <w:i/>
          <w:sz w:val="26"/>
          <w:szCs w:val="26"/>
        </w:rPr>
        <w:t>TRC Test Order</w:t>
      </w:r>
      <w:r w:rsidR="00FA1A82">
        <w:rPr>
          <w:i/>
          <w:sz w:val="26"/>
          <w:szCs w:val="26"/>
        </w:rPr>
        <w:t xml:space="preserve">.  </w:t>
      </w:r>
      <w:r w:rsidR="000801AA">
        <w:rPr>
          <w:sz w:val="26"/>
          <w:szCs w:val="26"/>
        </w:rPr>
        <w:t>When t</w:t>
      </w:r>
      <w:r w:rsidR="00FA1A82">
        <w:rPr>
          <w:sz w:val="26"/>
          <w:szCs w:val="26"/>
        </w:rPr>
        <w:t xml:space="preserve">he Commission </w:t>
      </w:r>
      <w:r w:rsidR="000801AA">
        <w:rPr>
          <w:sz w:val="26"/>
          <w:szCs w:val="26"/>
        </w:rPr>
        <w:t xml:space="preserve">issued the </w:t>
      </w:r>
      <w:r w:rsidR="00CE335D">
        <w:rPr>
          <w:i/>
          <w:sz w:val="26"/>
          <w:szCs w:val="26"/>
        </w:rPr>
        <w:t>TRC Test Order</w:t>
      </w:r>
      <w:r w:rsidR="000801AA">
        <w:rPr>
          <w:sz w:val="26"/>
          <w:szCs w:val="26"/>
        </w:rPr>
        <w:t xml:space="preserve"> in late June 2009, it </w:t>
      </w:r>
      <w:r w:rsidR="00FA1A82">
        <w:rPr>
          <w:sz w:val="26"/>
          <w:szCs w:val="26"/>
        </w:rPr>
        <w:t>noted t</w:t>
      </w:r>
      <w:r w:rsidR="00F80C70">
        <w:rPr>
          <w:sz w:val="26"/>
          <w:szCs w:val="26"/>
        </w:rPr>
        <w:t>hat time constraints</w:t>
      </w:r>
      <w:r w:rsidR="00FA1A82">
        <w:rPr>
          <w:sz w:val="26"/>
          <w:szCs w:val="26"/>
        </w:rPr>
        <w:t xml:space="preserve"> might prevent </w:t>
      </w:r>
      <w:r w:rsidR="00F80C70">
        <w:rPr>
          <w:sz w:val="26"/>
          <w:szCs w:val="26"/>
        </w:rPr>
        <w:t xml:space="preserve">EDCs </w:t>
      </w:r>
      <w:r w:rsidR="00FA1A82">
        <w:rPr>
          <w:sz w:val="26"/>
          <w:szCs w:val="26"/>
        </w:rPr>
        <w:t xml:space="preserve">from filing </w:t>
      </w:r>
      <w:r w:rsidR="00F80C70">
        <w:rPr>
          <w:sz w:val="26"/>
          <w:szCs w:val="26"/>
        </w:rPr>
        <w:t>EE&amp;C plans conform</w:t>
      </w:r>
      <w:r w:rsidR="000329C2">
        <w:rPr>
          <w:sz w:val="26"/>
          <w:szCs w:val="26"/>
        </w:rPr>
        <w:t>ing</w:t>
      </w:r>
      <w:r w:rsidR="00F80C70">
        <w:rPr>
          <w:sz w:val="26"/>
          <w:szCs w:val="26"/>
        </w:rPr>
        <w:t xml:space="preserve"> with </w:t>
      </w:r>
      <w:r w:rsidR="00FA1A82">
        <w:rPr>
          <w:sz w:val="26"/>
          <w:szCs w:val="26"/>
        </w:rPr>
        <w:t xml:space="preserve">the </w:t>
      </w:r>
      <w:r w:rsidR="005640F0">
        <w:rPr>
          <w:sz w:val="26"/>
          <w:szCs w:val="26"/>
        </w:rPr>
        <w:t>TRC Test</w:t>
      </w:r>
      <w:r w:rsidR="00FA1A82">
        <w:rPr>
          <w:sz w:val="26"/>
          <w:szCs w:val="26"/>
        </w:rPr>
        <w:t xml:space="preserve"> as set forth in </w:t>
      </w:r>
      <w:r w:rsidR="000329C2">
        <w:rPr>
          <w:sz w:val="26"/>
          <w:szCs w:val="26"/>
        </w:rPr>
        <w:t>that O</w:t>
      </w:r>
      <w:r w:rsidR="00FA1A82">
        <w:rPr>
          <w:sz w:val="26"/>
          <w:szCs w:val="26"/>
        </w:rPr>
        <w:t>rder.  T</w:t>
      </w:r>
      <w:r w:rsidR="00F80C70">
        <w:rPr>
          <w:sz w:val="26"/>
          <w:szCs w:val="26"/>
        </w:rPr>
        <w:t xml:space="preserve">he Commission stated that it would allow EE&amp;C Plan amendments </w:t>
      </w:r>
      <w:r w:rsidR="000801AA">
        <w:rPr>
          <w:sz w:val="26"/>
          <w:szCs w:val="26"/>
        </w:rPr>
        <w:t xml:space="preserve">to be filed as of right </w:t>
      </w:r>
      <w:r w:rsidR="00F80C70">
        <w:rPr>
          <w:sz w:val="26"/>
          <w:szCs w:val="26"/>
        </w:rPr>
        <w:t xml:space="preserve">prior to August 1, 2009.  Amendments after that date would be at the discretion of the presiding officer or by leave of the Commission.  </w:t>
      </w:r>
      <w:r w:rsidR="00CE335D">
        <w:rPr>
          <w:i/>
          <w:sz w:val="26"/>
          <w:szCs w:val="26"/>
        </w:rPr>
        <w:t>TRC Test Order</w:t>
      </w:r>
      <w:r w:rsidR="00F80C70">
        <w:rPr>
          <w:sz w:val="26"/>
          <w:szCs w:val="26"/>
        </w:rPr>
        <w:t xml:space="preserve"> at 6.  </w:t>
      </w:r>
      <w:r>
        <w:rPr>
          <w:sz w:val="26"/>
          <w:szCs w:val="26"/>
        </w:rPr>
        <w:t>According to FirstEnergy, the</w:t>
      </w:r>
      <w:r w:rsidR="00331F5D">
        <w:rPr>
          <w:sz w:val="26"/>
          <w:szCs w:val="26"/>
        </w:rPr>
        <w:t xml:space="preserve"> July </w:t>
      </w:r>
      <w:r w:rsidR="00F80C70">
        <w:rPr>
          <w:sz w:val="26"/>
          <w:szCs w:val="26"/>
        </w:rPr>
        <w:t xml:space="preserve">31, 2009 </w:t>
      </w:r>
      <w:r>
        <w:rPr>
          <w:sz w:val="26"/>
          <w:szCs w:val="26"/>
        </w:rPr>
        <w:t>supplements incorporate</w:t>
      </w:r>
      <w:r w:rsidR="00F80C70">
        <w:rPr>
          <w:sz w:val="26"/>
          <w:szCs w:val="26"/>
        </w:rPr>
        <w:t>d</w:t>
      </w:r>
      <w:r w:rsidR="000329C2">
        <w:rPr>
          <w:sz w:val="26"/>
          <w:szCs w:val="26"/>
        </w:rPr>
        <w:t xml:space="preserve"> relevant </w:t>
      </w:r>
      <w:r w:rsidR="005640F0">
        <w:rPr>
          <w:sz w:val="26"/>
          <w:szCs w:val="26"/>
        </w:rPr>
        <w:t>TRC Test</w:t>
      </w:r>
      <w:r>
        <w:rPr>
          <w:sz w:val="26"/>
          <w:szCs w:val="26"/>
        </w:rPr>
        <w:t xml:space="preserve"> items that could not be incorporated in the July 1, 2009 filings.</w:t>
      </w:r>
    </w:p>
    <w:p w:rsidR="00B92B7D" w:rsidRDefault="00B92B7D" w:rsidP="00F15DBB">
      <w:pPr>
        <w:spacing w:line="360" w:lineRule="auto"/>
        <w:ind w:firstLine="1440"/>
        <w:rPr>
          <w:sz w:val="26"/>
          <w:szCs w:val="26"/>
        </w:rPr>
      </w:pPr>
    </w:p>
    <w:p w:rsidR="00464407" w:rsidRDefault="00F15DBB" w:rsidP="00F15DBB">
      <w:pPr>
        <w:spacing w:line="360" w:lineRule="auto"/>
        <w:ind w:firstLine="1440"/>
        <w:rPr>
          <w:sz w:val="26"/>
          <w:szCs w:val="26"/>
        </w:rPr>
      </w:pPr>
      <w:r>
        <w:rPr>
          <w:sz w:val="26"/>
          <w:szCs w:val="26"/>
        </w:rPr>
        <w:t xml:space="preserve">A Notice published in the </w:t>
      </w:r>
      <w:r>
        <w:rPr>
          <w:i/>
          <w:sz w:val="26"/>
          <w:szCs w:val="26"/>
        </w:rPr>
        <w:t xml:space="preserve">Pennsylvania Bulletin </w:t>
      </w:r>
      <w:r>
        <w:rPr>
          <w:sz w:val="26"/>
          <w:szCs w:val="26"/>
        </w:rPr>
        <w:t>on</w:t>
      </w:r>
      <w:r w:rsidR="0060795D">
        <w:rPr>
          <w:sz w:val="26"/>
          <w:szCs w:val="26"/>
        </w:rPr>
        <w:t xml:space="preserve"> July</w:t>
      </w:r>
      <w:r w:rsidR="00DB2BCE">
        <w:rPr>
          <w:sz w:val="26"/>
          <w:szCs w:val="26"/>
        </w:rPr>
        <w:t xml:space="preserve"> 25</w:t>
      </w:r>
      <w:r w:rsidR="0060795D">
        <w:rPr>
          <w:sz w:val="26"/>
          <w:szCs w:val="26"/>
        </w:rPr>
        <w:t xml:space="preserve">, 2009, </w:t>
      </w:r>
      <w:r>
        <w:rPr>
          <w:sz w:val="26"/>
          <w:szCs w:val="26"/>
        </w:rPr>
        <w:t>stated that the deadline for filing answers along with comments and recommenda</w:t>
      </w:r>
      <w:r w:rsidR="0060795D">
        <w:rPr>
          <w:sz w:val="26"/>
          <w:szCs w:val="26"/>
        </w:rPr>
        <w:t>tions addressing the Plan</w:t>
      </w:r>
      <w:r>
        <w:rPr>
          <w:sz w:val="26"/>
          <w:szCs w:val="26"/>
        </w:rPr>
        <w:t xml:space="preserve"> was </w:t>
      </w:r>
      <w:r w:rsidR="001C010A">
        <w:rPr>
          <w:sz w:val="26"/>
          <w:szCs w:val="26"/>
        </w:rPr>
        <w:t>August 14</w:t>
      </w:r>
      <w:r w:rsidR="0060795D">
        <w:rPr>
          <w:sz w:val="26"/>
          <w:szCs w:val="26"/>
        </w:rPr>
        <w:t>, 2009</w:t>
      </w:r>
      <w:r>
        <w:rPr>
          <w:sz w:val="26"/>
          <w:szCs w:val="26"/>
        </w:rPr>
        <w:t xml:space="preserve">.  </w:t>
      </w:r>
      <w:r w:rsidR="00464407">
        <w:rPr>
          <w:sz w:val="26"/>
          <w:szCs w:val="26"/>
        </w:rPr>
        <w:t xml:space="preserve">The following </w:t>
      </w:r>
      <w:r w:rsidR="000212DB">
        <w:rPr>
          <w:sz w:val="26"/>
          <w:szCs w:val="26"/>
        </w:rPr>
        <w:t>Parties</w:t>
      </w:r>
      <w:r w:rsidR="00464407">
        <w:rPr>
          <w:sz w:val="26"/>
          <w:szCs w:val="26"/>
        </w:rPr>
        <w:t xml:space="preserve"> filed Notices of Intervention or Petitions to Intervene, which were not contested: the Office of Consumer </w:t>
      </w:r>
      <w:r w:rsidR="00464407">
        <w:rPr>
          <w:sz w:val="26"/>
          <w:szCs w:val="26"/>
        </w:rPr>
        <w:lastRenderedPageBreak/>
        <w:t>Advo</w:t>
      </w:r>
      <w:r w:rsidR="00796B5E">
        <w:rPr>
          <w:sz w:val="26"/>
          <w:szCs w:val="26"/>
        </w:rPr>
        <w:t>cate (OCA);</w:t>
      </w:r>
      <w:r w:rsidR="00464407">
        <w:rPr>
          <w:sz w:val="26"/>
          <w:szCs w:val="26"/>
        </w:rPr>
        <w:t xml:space="preserve"> </w:t>
      </w:r>
      <w:r w:rsidR="00796B5E">
        <w:rPr>
          <w:sz w:val="26"/>
          <w:szCs w:val="26"/>
        </w:rPr>
        <w:t>the Office of Trial Staff (OTS);</w:t>
      </w:r>
      <w:r w:rsidR="00464407">
        <w:rPr>
          <w:sz w:val="26"/>
          <w:szCs w:val="26"/>
        </w:rPr>
        <w:t xml:space="preserve"> </w:t>
      </w:r>
      <w:r w:rsidR="00796B5E">
        <w:rPr>
          <w:sz w:val="26"/>
          <w:szCs w:val="26"/>
        </w:rPr>
        <w:t xml:space="preserve">the Office of Small Business Advocate (OSBA); </w:t>
      </w:r>
      <w:r w:rsidR="00464407">
        <w:rPr>
          <w:sz w:val="26"/>
          <w:szCs w:val="26"/>
        </w:rPr>
        <w:t xml:space="preserve">the </w:t>
      </w:r>
      <w:r w:rsidR="00796B5E">
        <w:rPr>
          <w:sz w:val="26"/>
          <w:szCs w:val="26"/>
        </w:rPr>
        <w:t xml:space="preserve">Department of Environmental Protection (DEP); the Met-Ed Industrial Users Group (MEIUG), the Penelec Industrial Customer Alliance (PICA) and the Penn Power Users Group (PPUG) (collectively, MEIUG </w:t>
      </w:r>
      <w:r w:rsidR="00796B5E" w:rsidRPr="00123455">
        <w:rPr>
          <w:i/>
          <w:sz w:val="26"/>
          <w:szCs w:val="26"/>
        </w:rPr>
        <w:t>et al</w:t>
      </w:r>
      <w:r w:rsidR="00796B5E">
        <w:rPr>
          <w:sz w:val="26"/>
          <w:szCs w:val="26"/>
        </w:rPr>
        <w:t>.)</w:t>
      </w:r>
      <w:r w:rsidR="00E55360">
        <w:rPr>
          <w:sz w:val="26"/>
          <w:szCs w:val="26"/>
        </w:rPr>
        <w:t>;</w:t>
      </w:r>
      <w:r w:rsidR="00EC4F69">
        <w:rPr>
          <w:rStyle w:val="FootnoteReference"/>
          <w:sz w:val="26"/>
          <w:szCs w:val="26"/>
        </w:rPr>
        <w:footnoteReference w:id="4"/>
      </w:r>
      <w:r w:rsidR="00796B5E">
        <w:rPr>
          <w:sz w:val="26"/>
          <w:szCs w:val="26"/>
        </w:rPr>
        <w:t xml:space="preserve"> Field Diagnostic Services, Inc. (FDSI)</w:t>
      </w:r>
      <w:r w:rsidR="00E55360">
        <w:rPr>
          <w:sz w:val="26"/>
          <w:szCs w:val="26"/>
        </w:rPr>
        <w:t>;</w:t>
      </w:r>
      <w:r w:rsidR="008729A7">
        <w:rPr>
          <w:rStyle w:val="FootnoteReference"/>
          <w:sz w:val="26"/>
          <w:szCs w:val="26"/>
        </w:rPr>
        <w:footnoteReference w:id="5"/>
      </w:r>
      <w:r w:rsidR="00803EF3">
        <w:rPr>
          <w:sz w:val="26"/>
          <w:szCs w:val="26"/>
        </w:rPr>
        <w:t xml:space="preserve"> Direct Energy Business, LLC (Direct Energy)</w:t>
      </w:r>
      <w:r w:rsidR="00E55360">
        <w:rPr>
          <w:sz w:val="26"/>
          <w:szCs w:val="26"/>
        </w:rPr>
        <w:t>;</w:t>
      </w:r>
      <w:r w:rsidR="001C1DCA">
        <w:rPr>
          <w:rStyle w:val="FootnoteReference"/>
          <w:sz w:val="26"/>
          <w:szCs w:val="26"/>
        </w:rPr>
        <w:footnoteReference w:id="6"/>
      </w:r>
      <w:r w:rsidR="00803EF3">
        <w:rPr>
          <w:sz w:val="26"/>
          <w:szCs w:val="26"/>
        </w:rPr>
        <w:t xml:space="preserve"> the Association of Community Organizations for Reform Now (ACORN)</w:t>
      </w:r>
      <w:r w:rsidR="00E55360">
        <w:rPr>
          <w:sz w:val="26"/>
          <w:szCs w:val="26"/>
        </w:rPr>
        <w:t>;</w:t>
      </w:r>
      <w:r w:rsidR="00A80034">
        <w:rPr>
          <w:rStyle w:val="FootnoteReference"/>
          <w:sz w:val="26"/>
          <w:szCs w:val="26"/>
        </w:rPr>
        <w:footnoteReference w:id="7"/>
      </w:r>
      <w:r w:rsidR="00803EF3">
        <w:rPr>
          <w:sz w:val="26"/>
          <w:szCs w:val="26"/>
        </w:rPr>
        <w:t xml:space="preserve"> </w:t>
      </w:r>
      <w:r w:rsidR="007D3B44">
        <w:rPr>
          <w:sz w:val="26"/>
          <w:szCs w:val="26"/>
        </w:rPr>
        <w:t xml:space="preserve">and </w:t>
      </w:r>
      <w:r w:rsidR="00803EF3">
        <w:rPr>
          <w:sz w:val="26"/>
          <w:szCs w:val="26"/>
        </w:rPr>
        <w:t>Rep. Camille “Bud” George (Rep. George)</w:t>
      </w:r>
      <w:r w:rsidR="007D3B44">
        <w:rPr>
          <w:sz w:val="26"/>
          <w:szCs w:val="26"/>
        </w:rPr>
        <w:t>.</w:t>
      </w:r>
      <w:r w:rsidR="00B37C9F">
        <w:rPr>
          <w:rStyle w:val="FootnoteReference"/>
          <w:sz w:val="26"/>
          <w:szCs w:val="26"/>
        </w:rPr>
        <w:footnoteReference w:id="8"/>
      </w:r>
    </w:p>
    <w:p w:rsidR="008378E1" w:rsidRDefault="008378E1" w:rsidP="00F15DBB">
      <w:pPr>
        <w:spacing w:line="360" w:lineRule="auto"/>
        <w:ind w:firstLine="1440"/>
        <w:rPr>
          <w:sz w:val="26"/>
          <w:szCs w:val="26"/>
        </w:rPr>
      </w:pPr>
    </w:p>
    <w:p w:rsidR="00F031C7" w:rsidRDefault="007D3B44" w:rsidP="00464407">
      <w:pPr>
        <w:spacing w:line="360" w:lineRule="auto"/>
        <w:ind w:firstLine="1440"/>
        <w:rPr>
          <w:sz w:val="26"/>
          <w:szCs w:val="26"/>
        </w:rPr>
      </w:pPr>
      <w:r>
        <w:rPr>
          <w:sz w:val="26"/>
          <w:szCs w:val="26"/>
        </w:rPr>
        <w:t xml:space="preserve">FirstEnergy contested the Petition to Intervene filed by </w:t>
      </w:r>
      <w:r w:rsidR="00464407">
        <w:rPr>
          <w:sz w:val="26"/>
          <w:szCs w:val="26"/>
        </w:rPr>
        <w:t>UGI Utilities, Inc., - Gas Div., UGI Penn Natural Gas, Inc. and UGI Central Penn Gas, Inc. (collectively, UGI Distribution Companies)</w:t>
      </w:r>
      <w:r w:rsidR="00C34ABA">
        <w:rPr>
          <w:rStyle w:val="FootnoteReference"/>
          <w:sz w:val="26"/>
          <w:szCs w:val="26"/>
        </w:rPr>
        <w:footnoteReference w:id="9"/>
      </w:r>
      <w:r w:rsidR="003516C8">
        <w:rPr>
          <w:sz w:val="26"/>
          <w:szCs w:val="26"/>
        </w:rPr>
        <w:t xml:space="preserve"> on the ground that the UGI Distribution Companies sought to pursue the issue of fuel substitution in this proceeding.  By </w:t>
      </w:r>
      <w:r w:rsidR="00331F5D">
        <w:rPr>
          <w:sz w:val="26"/>
          <w:szCs w:val="26"/>
        </w:rPr>
        <w:t>Order issued July 31, 2009, ALJ </w:t>
      </w:r>
      <w:r w:rsidR="003516C8">
        <w:rPr>
          <w:sz w:val="26"/>
          <w:szCs w:val="26"/>
        </w:rPr>
        <w:t xml:space="preserve">Salapa </w:t>
      </w:r>
      <w:r w:rsidR="00F031C7">
        <w:rPr>
          <w:sz w:val="26"/>
          <w:szCs w:val="26"/>
        </w:rPr>
        <w:t xml:space="preserve">permitted the </w:t>
      </w:r>
      <w:r w:rsidR="003516C8">
        <w:rPr>
          <w:sz w:val="26"/>
          <w:szCs w:val="26"/>
        </w:rPr>
        <w:t xml:space="preserve">UGI Distribution Companies </w:t>
      </w:r>
      <w:r w:rsidR="00F031C7">
        <w:rPr>
          <w:sz w:val="26"/>
          <w:szCs w:val="26"/>
        </w:rPr>
        <w:t xml:space="preserve">to intervene in this case </w:t>
      </w:r>
      <w:r w:rsidR="003516C8">
        <w:rPr>
          <w:sz w:val="26"/>
          <w:szCs w:val="26"/>
        </w:rPr>
        <w:t>on the ground that those companies are customers of FirstEnergy, but</w:t>
      </w:r>
      <w:r w:rsidR="00F031C7">
        <w:rPr>
          <w:sz w:val="26"/>
          <w:szCs w:val="26"/>
        </w:rPr>
        <w:t xml:space="preserve"> the ALJ</w:t>
      </w:r>
      <w:r w:rsidR="003516C8">
        <w:rPr>
          <w:sz w:val="26"/>
          <w:szCs w:val="26"/>
        </w:rPr>
        <w:t xml:space="preserve"> </w:t>
      </w:r>
      <w:r w:rsidR="0003731E">
        <w:rPr>
          <w:sz w:val="26"/>
          <w:szCs w:val="26"/>
        </w:rPr>
        <w:t>stated</w:t>
      </w:r>
      <w:r w:rsidR="003516C8">
        <w:rPr>
          <w:sz w:val="26"/>
          <w:szCs w:val="26"/>
        </w:rPr>
        <w:t xml:space="preserve"> that the issue of fuel substitution is beyond the scope of the instant proceeding.</w:t>
      </w:r>
    </w:p>
    <w:p w:rsidR="00F031C7" w:rsidRDefault="00F031C7" w:rsidP="00464407">
      <w:pPr>
        <w:spacing w:line="360" w:lineRule="auto"/>
        <w:ind w:firstLine="1440"/>
        <w:rPr>
          <w:sz w:val="26"/>
          <w:szCs w:val="26"/>
        </w:rPr>
      </w:pPr>
    </w:p>
    <w:p w:rsidR="00F031C7" w:rsidRDefault="00F031C7" w:rsidP="00464407">
      <w:pPr>
        <w:spacing w:line="360" w:lineRule="auto"/>
        <w:ind w:firstLine="1440"/>
        <w:rPr>
          <w:sz w:val="26"/>
          <w:szCs w:val="26"/>
        </w:rPr>
      </w:pPr>
      <w:r>
        <w:rPr>
          <w:sz w:val="26"/>
          <w:szCs w:val="26"/>
        </w:rPr>
        <w:t xml:space="preserve">FirstEnergy also contested the Petitions to Intervene filed by </w:t>
      </w:r>
      <w:r w:rsidR="007D3B44">
        <w:rPr>
          <w:sz w:val="26"/>
          <w:szCs w:val="26"/>
        </w:rPr>
        <w:t>Peoples Natural Gas Company d/b/a Dominion Peoples (Dominion Peoples)</w:t>
      </w:r>
      <w:r w:rsidR="00E55360">
        <w:rPr>
          <w:sz w:val="26"/>
          <w:szCs w:val="26"/>
        </w:rPr>
        <w:t>;</w:t>
      </w:r>
      <w:r w:rsidR="004A2F9F">
        <w:rPr>
          <w:rStyle w:val="FootnoteReference"/>
          <w:sz w:val="26"/>
          <w:szCs w:val="26"/>
        </w:rPr>
        <w:footnoteReference w:id="10"/>
      </w:r>
      <w:r w:rsidR="007D3B44">
        <w:rPr>
          <w:sz w:val="26"/>
          <w:szCs w:val="26"/>
        </w:rPr>
        <w:t xml:space="preserve"> National Fuel Gas Distribution Corporation (NFG)</w:t>
      </w:r>
      <w:r w:rsidR="00E55360">
        <w:rPr>
          <w:sz w:val="26"/>
          <w:szCs w:val="26"/>
        </w:rPr>
        <w:t>;</w:t>
      </w:r>
      <w:r w:rsidR="000C3D32">
        <w:rPr>
          <w:rStyle w:val="FootnoteReference"/>
          <w:sz w:val="26"/>
          <w:szCs w:val="26"/>
        </w:rPr>
        <w:footnoteReference w:id="11"/>
      </w:r>
      <w:r w:rsidR="007D3B44">
        <w:rPr>
          <w:sz w:val="26"/>
          <w:szCs w:val="26"/>
        </w:rPr>
        <w:t xml:space="preserve"> </w:t>
      </w:r>
      <w:r w:rsidR="008D0905">
        <w:rPr>
          <w:sz w:val="26"/>
          <w:szCs w:val="26"/>
        </w:rPr>
        <w:t>Constellation New Energy, Inc. (Constellation)</w:t>
      </w:r>
      <w:r w:rsidR="00E55360">
        <w:rPr>
          <w:sz w:val="26"/>
          <w:szCs w:val="26"/>
        </w:rPr>
        <w:t>;</w:t>
      </w:r>
      <w:r w:rsidR="00321F34">
        <w:rPr>
          <w:rStyle w:val="FootnoteReference"/>
          <w:sz w:val="26"/>
          <w:szCs w:val="26"/>
        </w:rPr>
        <w:footnoteReference w:id="12"/>
      </w:r>
      <w:r w:rsidR="008D0905">
        <w:rPr>
          <w:sz w:val="26"/>
          <w:szCs w:val="26"/>
        </w:rPr>
        <w:t xml:space="preserve"> and EnerNOC, Inc. (EnerNOC)</w:t>
      </w:r>
      <w:r w:rsidR="00464407">
        <w:rPr>
          <w:sz w:val="26"/>
          <w:szCs w:val="26"/>
        </w:rPr>
        <w:t>.</w:t>
      </w:r>
      <w:r w:rsidR="000421FE">
        <w:rPr>
          <w:rStyle w:val="FootnoteReference"/>
          <w:sz w:val="26"/>
          <w:szCs w:val="26"/>
        </w:rPr>
        <w:footnoteReference w:id="13"/>
      </w:r>
      <w:r w:rsidR="00464407">
        <w:rPr>
          <w:sz w:val="26"/>
          <w:szCs w:val="26"/>
        </w:rPr>
        <w:t xml:space="preserve">  </w:t>
      </w:r>
      <w:r>
        <w:rPr>
          <w:sz w:val="26"/>
          <w:szCs w:val="26"/>
        </w:rPr>
        <w:t xml:space="preserve">In part, </w:t>
      </w:r>
      <w:r w:rsidR="00464407">
        <w:rPr>
          <w:sz w:val="26"/>
          <w:szCs w:val="26"/>
        </w:rPr>
        <w:t xml:space="preserve">FirstEnergy </w:t>
      </w:r>
      <w:r>
        <w:rPr>
          <w:sz w:val="26"/>
          <w:szCs w:val="26"/>
        </w:rPr>
        <w:t>argued that these Petitions were not timely filed.  By Order dated August 7, 2009, ALJ Salapa permitted these com</w:t>
      </w:r>
      <w:r w:rsidR="0003731E">
        <w:rPr>
          <w:sz w:val="26"/>
          <w:szCs w:val="26"/>
        </w:rPr>
        <w:t>panies to intervene because the challenged Petitions</w:t>
      </w:r>
      <w:r>
        <w:rPr>
          <w:sz w:val="26"/>
          <w:szCs w:val="26"/>
        </w:rPr>
        <w:t xml:space="preserve"> were filed prior to the date </w:t>
      </w:r>
      <w:r w:rsidR="0003731E">
        <w:rPr>
          <w:sz w:val="26"/>
          <w:szCs w:val="26"/>
        </w:rPr>
        <w:t>specified</w:t>
      </w:r>
      <w:r>
        <w:rPr>
          <w:sz w:val="26"/>
          <w:szCs w:val="26"/>
        </w:rPr>
        <w:t xml:space="preserve"> in Prehearing Order #1 for </w:t>
      </w:r>
      <w:r w:rsidR="00A51C59">
        <w:rPr>
          <w:sz w:val="26"/>
          <w:szCs w:val="26"/>
        </w:rPr>
        <w:t>filing answers, comments or recommendations.</w:t>
      </w:r>
      <w:r w:rsidR="009568B5">
        <w:rPr>
          <w:sz w:val="26"/>
          <w:szCs w:val="26"/>
        </w:rPr>
        <w:t xml:space="preserve">  Again, the ALJ made clear that the issue of fuel substitution is beyond the scope of this proceeding.   </w:t>
      </w:r>
      <w:r w:rsidR="00A51C59">
        <w:rPr>
          <w:sz w:val="26"/>
          <w:szCs w:val="26"/>
        </w:rPr>
        <w:t xml:space="preserve">  </w:t>
      </w:r>
    </w:p>
    <w:p w:rsidR="00F031C7" w:rsidRDefault="00F031C7" w:rsidP="00464407">
      <w:pPr>
        <w:spacing w:line="360" w:lineRule="auto"/>
        <w:ind w:firstLine="1440"/>
        <w:rPr>
          <w:sz w:val="26"/>
          <w:szCs w:val="26"/>
        </w:rPr>
      </w:pPr>
    </w:p>
    <w:p w:rsidR="00D1610D" w:rsidRDefault="000906BB" w:rsidP="00F15DBB">
      <w:pPr>
        <w:spacing w:line="360" w:lineRule="auto"/>
        <w:ind w:firstLine="1440"/>
        <w:rPr>
          <w:sz w:val="26"/>
          <w:szCs w:val="26"/>
        </w:rPr>
      </w:pPr>
      <w:r>
        <w:rPr>
          <w:sz w:val="26"/>
          <w:szCs w:val="26"/>
        </w:rPr>
        <w:t xml:space="preserve">In </w:t>
      </w:r>
      <w:r w:rsidR="008C02CB">
        <w:rPr>
          <w:sz w:val="26"/>
          <w:szCs w:val="26"/>
        </w:rPr>
        <w:t>addition, First</w:t>
      </w:r>
      <w:r>
        <w:rPr>
          <w:sz w:val="26"/>
          <w:szCs w:val="26"/>
        </w:rPr>
        <w:t xml:space="preserve">Energy contested </w:t>
      </w:r>
      <w:r w:rsidR="008C02CB">
        <w:rPr>
          <w:sz w:val="26"/>
          <w:szCs w:val="26"/>
        </w:rPr>
        <w:t xml:space="preserve">intervention requests </w:t>
      </w:r>
      <w:r>
        <w:rPr>
          <w:sz w:val="26"/>
          <w:szCs w:val="26"/>
        </w:rPr>
        <w:t>filed by Comperio Energy LLC, d/b/a ClearChoice Energy (ClearChoice)</w:t>
      </w:r>
      <w:r w:rsidR="00E55360">
        <w:rPr>
          <w:sz w:val="26"/>
          <w:szCs w:val="26"/>
        </w:rPr>
        <w:t>;</w:t>
      </w:r>
      <w:r w:rsidR="00FE5FC7">
        <w:rPr>
          <w:rStyle w:val="FootnoteReference"/>
          <w:sz w:val="26"/>
          <w:szCs w:val="26"/>
        </w:rPr>
        <w:footnoteReference w:id="14"/>
      </w:r>
      <w:r>
        <w:rPr>
          <w:sz w:val="26"/>
          <w:szCs w:val="26"/>
        </w:rPr>
        <w:t xml:space="preserve"> and </w:t>
      </w:r>
      <w:r w:rsidR="00181644">
        <w:rPr>
          <w:sz w:val="26"/>
          <w:szCs w:val="26"/>
        </w:rPr>
        <w:t xml:space="preserve">The </w:t>
      </w:r>
      <w:r>
        <w:rPr>
          <w:sz w:val="26"/>
          <w:szCs w:val="26"/>
        </w:rPr>
        <w:t>E Cubed Company, LLC (E Cubed).</w:t>
      </w:r>
      <w:r w:rsidR="008C02CB">
        <w:rPr>
          <w:sz w:val="26"/>
          <w:szCs w:val="26"/>
        </w:rPr>
        <w:t xml:space="preserve">  FirstEnergy argued that there was no indication that </w:t>
      </w:r>
      <w:r w:rsidR="00690DB8">
        <w:rPr>
          <w:sz w:val="26"/>
          <w:szCs w:val="26"/>
        </w:rPr>
        <w:t xml:space="preserve">either </w:t>
      </w:r>
      <w:r w:rsidR="00181644">
        <w:rPr>
          <w:sz w:val="26"/>
          <w:szCs w:val="26"/>
        </w:rPr>
        <w:t>ClearChoice or E Cubed</w:t>
      </w:r>
      <w:r w:rsidR="008C02CB">
        <w:rPr>
          <w:sz w:val="26"/>
          <w:szCs w:val="26"/>
        </w:rPr>
        <w:t xml:space="preserve"> w</w:t>
      </w:r>
      <w:r w:rsidR="00690DB8">
        <w:rPr>
          <w:sz w:val="26"/>
          <w:szCs w:val="26"/>
        </w:rPr>
        <w:t>as</w:t>
      </w:r>
      <w:r w:rsidR="008C02CB">
        <w:rPr>
          <w:sz w:val="26"/>
          <w:szCs w:val="26"/>
        </w:rPr>
        <w:t xml:space="preserve"> represented by counsel as required </w:t>
      </w:r>
      <w:r w:rsidR="00690DB8">
        <w:rPr>
          <w:sz w:val="26"/>
          <w:szCs w:val="26"/>
        </w:rPr>
        <w:t xml:space="preserve">for corporations </w:t>
      </w:r>
      <w:r w:rsidR="008C02CB">
        <w:rPr>
          <w:sz w:val="26"/>
          <w:szCs w:val="26"/>
        </w:rPr>
        <w:t>by Commission regulations.  52 Pa. Code §</w:t>
      </w:r>
      <w:r w:rsidR="00E55360">
        <w:rPr>
          <w:sz w:val="26"/>
          <w:szCs w:val="26"/>
        </w:rPr>
        <w:t>§</w:t>
      </w:r>
      <w:r w:rsidR="008C02CB">
        <w:rPr>
          <w:sz w:val="26"/>
          <w:szCs w:val="26"/>
        </w:rPr>
        <w:t xml:space="preserve"> 1.21-1.23.  ALJ Salapa</w:t>
      </w:r>
      <w:r w:rsidR="00E31B60">
        <w:rPr>
          <w:sz w:val="26"/>
          <w:szCs w:val="26"/>
        </w:rPr>
        <w:t xml:space="preserve"> </w:t>
      </w:r>
      <w:r w:rsidR="008C02CB">
        <w:rPr>
          <w:sz w:val="26"/>
          <w:szCs w:val="26"/>
        </w:rPr>
        <w:t>agreed</w:t>
      </w:r>
      <w:r w:rsidR="00A90031">
        <w:rPr>
          <w:sz w:val="26"/>
          <w:szCs w:val="26"/>
        </w:rPr>
        <w:t xml:space="preserve">.  </w:t>
      </w:r>
      <w:r w:rsidR="00FF094B">
        <w:rPr>
          <w:sz w:val="26"/>
          <w:szCs w:val="26"/>
        </w:rPr>
        <w:t xml:space="preserve">Order dated July 31, 2009.  </w:t>
      </w:r>
      <w:r w:rsidR="00E31B60">
        <w:rPr>
          <w:sz w:val="26"/>
          <w:szCs w:val="26"/>
        </w:rPr>
        <w:t xml:space="preserve">He </w:t>
      </w:r>
      <w:r w:rsidR="00FE6401">
        <w:rPr>
          <w:sz w:val="26"/>
          <w:szCs w:val="26"/>
        </w:rPr>
        <w:t xml:space="preserve">also noted that no certificate of service was attached to the letter of E Cubed requesting intervention.  </w:t>
      </w:r>
      <w:r w:rsidR="00702450">
        <w:rPr>
          <w:sz w:val="26"/>
          <w:szCs w:val="26"/>
        </w:rPr>
        <w:t xml:space="preserve">The ALJ </w:t>
      </w:r>
      <w:r w:rsidR="00E31B60">
        <w:rPr>
          <w:sz w:val="26"/>
          <w:szCs w:val="26"/>
        </w:rPr>
        <w:t xml:space="preserve">dismissed both intervention requests, but he </w:t>
      </w:r>
      <w:r w:rsidR="00702450">
        <w:rPr>
          <w:sz w:val="26"/>
          <w:szCs w:val="26"/>
        </w:rPr>
        <w:t xml:space="preserve">stated that </w:t>
      </w:r>
      <w:r w:rsidR="00FE6401">
        <w:rPr>
          <w:sz w:val="26"/>
          <w:szCs w:val="26"/>
        </w:rPr>
        <w:t>both ClearChoic</w:t>
      </w:r>
      <w:r w:rsidR="00E31B60">
        <w:rPr>
          <w:sz w:val="26"/>
          <w:szCs w:val="26"/>
        </w:rPr>
        <w:t>e</w:t>
      </w:r>
      <w:r w:rsidR="00FE6401">
        <w:rPr>
          <w:sz w:val="26"/>
          <w:szCs w:val="26"/>
        </w:rPr>
        <w:t xml:space="preserve"> and E Cubed </w:t>
      </w:r>
      <w:r w:rsidR="00702450">
        <w:rPr>
          <w:sz w:val="26"/>
          <w:szCs w:val="26"/>
        </w:rPr>
        <w:t xml:space="preserve">could file </w:t>
      </w:r>
      <w:r w:rsidR="00FE6401">
        <w:rPr>
          <w:sz w:val="26"/>
          <w:szCs w:val="26"/>
        </w:rPr>
        <w:t xml:space="preserve">new </w:t>
      </w:r>
      <w:r w:rsidR="008478A7">
        <w:rPr>
          <w:sz w:val="26"/>
          <w:szCs w:val="26"/>
        </w:rPr>
        <w:t>Petitions to I</w:t>
      </w:r>
      <w:r w:rsidR="00702450">
        <w:rPr>
          <w:sz w:val="26"/>
          <w:szCs w:val="26"/>
        </w:rPr>
        <w:t xml:space="preserve">ntervene </w:t>
      </w:r>
      <w:r w:rsidR="00230365">
        <w:rPr>
          <w:sz w:val="26"/>
          <w:szCs w:val="26"/>
        </w:rPr>
        <w:t>in compliance w</w:t>
      </w:r>
      <w:r w:rsidR="00702450">
        <w:rPr>
          <w:sz w:val="26"/>
          <w:szCs w:val="26"/>
        </w:rPr>
        <w:t>ith the Commission’s Rules of Practice and Procedure regarding attorney representation and certificates of service.</w:t>
      </w:r>
      <w:r w:rsidR="005838C4">
        <w:rPr>
          <w:sz w:val="26"/>
          <w:szCs w:val="26"/>
        </w:rPr>
        <w:t xml:space="preserve">  ClearChoice </w:t>
      </w:r>
      <w:r w:rsidR="00FF094B">
        <w:rPr>
          <w:sz w:val="26"/>
          <w:szCs w:val="26"/>
        </w:rPr>
        <w:t xml:space="preserve">subsequently </w:t>
      </w:r>
      <w:r w:rsidR="005838C4">
        <w:rPr>
          <w:sz w:val="26"/>
          <w:szCs w:val="26"/>
        </w:rPr>
        <w:t xml:space="preserve">filed </w:t>
      </w:r>
      <w:r w:rsidR="00E34CC3">
        <w:rPr>
          <w:sz w:val="26"/>
          <w:szCs w:val="26"/>
        </w:rPr>
        <w:t xml:space="preserve">a Petition to Amend its Petition to </w:t>
      </w:r>
      <w:r w:rsidR="00E34CC3">
        <w:rPr>
          <w:sz w:val="26"/>
          <w:szCs w:val="26"/>
        </w:rPr>
        <w:lastRenderedPageBreak/>
        <w:t>Intervene, in order to designate counsel.  By Order dated August 7, 2009, the ALJ granted ClearChoice’s Petition to Intervene.</w:t>
      </w:r>
      <w:r w:rsidR="00702450">
        <w:rPr>
          <w:sz w:val="26"/>
          <w:szCs w:val="26"/>
        </w:rPr>
        <w:t xml:space="preserve">  </w:t>
      </w:r>
    </w:p>
    <w:p w:rsidR="00D1610D" w:rsidRDefault="00D1610D" w:rsidP="00F15DBB">
      <w:pPr>
        <w:spacing w:line="360" w:lineRule="auto"/>
        <w:ind w:firstLine="1440"/>
        <w:rPr>
          <w:sz w:val="26"/>
          <w:szCs w:val="26"/>
        </w:rPr>
      </w:pPr>
    </w:p>
    <w:p w:rsidR="003E72FA" w:rsidRDefault="003E72FA" w:rsidP="00F15DBB">
      <w:pPr>
        <w:spacing w:line="360" w:lineRule="auto"/>
        <w:ind w:firstLine="1440"/>
        <w:rPr>
          <w:sz w:val="26"/>
          <w:szCs w:val="26"/>
        </w:rPr>
      </w:pPr>
      <w:r>
        <w:rPr>
          <w:sz w:val="26"/>
          <w:szCs w:val="26"/>
        </w:rPr>
        <w:t xml:space="preserve">Finally, FirstEnergy contested the Petition to Intervene filed by Columbia Gas of Pennsylvania, Inc., on the ground that </w:t>
      </w:r>
      <w:r w:rsidR="003C5C58">
        <w:rPr>
          <w:sz w:val="26"/>
          <w:szCs w:val="26"/>
        </w:rPr>
        <w:t>said Petition was</w:t>
      </w:r>
      <w:r>
        <w:rPr>
          <w:sz w:val="26"/>
          <w:szCs w:val="26"/>
        </w:rPr>
        <w:t xml:space="preserve"> not timely filed.  In an Initial Decision issued on September 1, 2009, ALJ Salapa agreed</w:t>
      </w:r>
      <w:r w:rsidR="00230365">
        <w:rPr>
          <w:sz w:val="26"/>
          <w:szCs w:val="26"/>
        </w:rPr>
        <w:t xml:space="preserve"> with FirstEnergy</w:t>
      </w:r>
      <w:r>
        <w:rPr>
          <w:sz w:val="26"/>
          <w:szCs w:val="26"/>
        </w:rPr>
        <w:t>.</w:t>
      </w:r>
    </w:p>
    <w:p w:rsidR="003E72FA" w:rsidRDefault="003E72FA" w:rsidP="00F15DBB">
      <w:pPr>
        <w:spacing w:line="360" w:lineRule="auto"/>
        <w:ind w:firstLine="1440"/>
        <w:rPr>
          <w:sz w:val="26"/>
          <w:szCs w:val="26"/>
        </w:rPr>
      </w:pPr>
    </w:p>
    <w:p w:rsidR="00A019C2" w:rsidRDefault="004A16BE" w:rsidP="00F15DBB">
      <w:pPr>
        <w:spacing w:line="360" w:lineRule="auto"/>
        <w:ind w:firstLine="1440"/>
        <w:rPr>
          <w:sz w:val="26"/>
          <w:szCs w:val="26"/>
        </w:rPr>
      </w:pPr>
      <w:r>
        <w:rPr>
          <w:sz w:val="26"/>
          <w:szCs w:val="26"/>
        </w:rPr>
        <w:t xml:space="preserve">ALJ Robert P. Meehan </w:t>
      </w:r>
      <w:r w:rsidR="00970F81">
        <w:rPr>
          <w:sz w:val="26"/>
          <w:szCs w:val="26"/>
        </w:rPr>
        <w:t xml:space="preserve">held </w:t>
      </w:r>
      <w:r w:rsidR="0052582B">
        <w:rPr>
          <w:sz w:val="26"/>
          <w:szCs w:val="26"/>
        </w:rPr>
        <w:t>P</w:t>
      </w:r>
      <w:r w:rsidR="00F420DE">
        <w:rPr>
          <w:sz w:val="26"/>
          <w:szCs w:val="26"/>
        </w:rPr>
        <w:t xml:space="preserve">ublic </w:t>
      </w:r>
      <w:r w:rsidR="0052582B">
        <w:rPr>
          <w:sz w:val="26"/>
          <w:szCs w:val="26"/>
        </w:rPr>
        <w:t>I</w:t>
      </w:r>
      <w:r w:rsidR="00DB2BCE">
        <w:rPr>
          <w:sz w:val="26"/>
          <w:szCs w:val="26"/>
        </w:rPr>
        <w:t xml:space="preserve">nput </w:t>
      </w:r>
      <w:r w:rsidR="00F420DE">
        <w:rPr>
          <w:sz w:val="26"/>
          <w:szCs w:val="26"/>
        </w:rPr>
        <w:t>hearing</w:t>
      </w:r>
      <w:r>
        <w:rPr>
          <w:sz w:val="26"/>
          <w:szCs w:val="26"/>
        </w:rPr>
        <w:t>s</w:t>
      </w:r>
      <w:r w:rsidR="00B1413D">
        <w:rPr>
          <w:sz w:val="26"/>
          <w:szCs w:val="26"/>
        </w:rPr>
        <w:t xml:space="preserve"> </w:t>
      </w:r>
      <w:r w:rsidR="00970F81">
        <w:rPr>
          <w:sz w:val="26"/>
          <w:szCs w:val="26"/>
        </w:rPr>
        <w:t xml:space="preserve">at </w:t>
      </w:r>
      <w:r>
        <w:rPr>
          <w:sz w:val="26"/>
          <w:szCs w:val="26"/>
        </w:rPr>
        <w:t>Mars</w:t>
      </w:r>
      <w:r w:rsidR="00B1413D">
        <w:rPr>
          <w:sz w:val="26"/>
          <w:szCs w:val="26"/>
        </w:rPr>
        <w:t>, Pennsylvania</w:t>
      </w:r>
      <w:r w:rsidR="00B830F4" w:rsidRPr="00154497">
        <w:rPr>
          <w:sz w:val="26"/>
          <w:szCs w:val="26"/>
        </w:rPr>
        <w:t xml:space="preserve"> on</w:t>
      </w:r>
      <w:r>
        <w:rPr>
          <w:sz w:val="26"/>
          <w:szCs w:val="26"/>
        </w:rPr>
        <w:t xml:space="preserve"> J</w:t>
      </w:r>
      <w:r w:rsidR="00331F5D">
        <w:rPr>
          <w:sz w:val="26"/>
          <w:szCs w:val="26"/>
        </w:rPr>
        <w:t>uly </w:t>
      </w:r>
      <w:r w:rsidR="0052582B">
        <w:rPr>
          <w:sz w:val="26"/>
          <w:szCs w:val="26"/>
        </w:rPr>
        <w:t>30, 2009.  ALJ Salapa held Public I</w:t>
      </w:r>
      <w:r>
        <w:rPr>
          <w:sz w:val="26"/>
          <w:szCs w:val="26"/>
        </w:rPr>
        <w:t>nput hearings at Holl</w:t>
      </w:r>
      <w:r w:rsidR="00331F5D">
        <w:rPr>
          <w:sz w:val="26"/>
          <w:szCs w:val="26"/>
        </w:rPr>
        <w:t>idaysburg, Pennsylvania on July </w:t>
      </w:r>
      <w:r>
        <w:rPr>
          <w:sz w:val="26"/>
          <w:szCs w:val="26"/>
        </w:rPr>
        <w:t>31, 2009 and Wyomissing, Pennsylvania on August 4</w:t>
      </w:r>
      <w:r w:rsidR="001A70B8">
        <w:rPr>
          <w:sz w:val="26"/>
          <w:szCs w:val="26"/>
        </w:rPr>
        <w:t>, 2009.</w:t>
      </w:r>
      <w:r w:rsidR="00970F81">
        <w:rPr>
          <w:sz w:val="26"/>
          <w:szCs w:val="26"/>
        </w:rPr>
        <w:t xml:space="preserve">  </w:t>
      </w:r>
    </w:p>
    <w:p w:rsidR="00A019C2" w:rsidRDefault="00A019C2" w:rsidP="00F15DBB">
      <w:pPr>
        <w:spacing w:line="360" w:lineRule="auto"/>
        <w:ind w:firstLine="1440"/>
        <w:rPr>
          <w:sz w:val="26"/>
          <w:szCs w:val="26"/>
        </w:rPr>
      </w:pPr>
    </w:p>
    <w:p w:rsidR="00A019C2" w:rsidRPr="004F5A1E" w:rsidRDefault="00F57211" w:rsidP="00F15DBB">
      <w:pPr>
        <w:spacing w:line="360" w:lineRule="auto"/>
        <w:ind w:firstLine="1440"/>
        <w:rPr>
          <w:sz w:val="26"/>
          <w:szCs w:val="26"/>
        </w:rPr>
      </w:pPr>
      <w:r>
        <w:rPr>
          <w:sz w:val="26"/>
          <w:szCs w:val="26"/>
        </w:rPr>
        <w:t>Comments on FirstEnergy</w:t>
      </w:r>
      <w:r w:rsidR="00106D89">
        <w:rPr>
          <w:sz w:val="26"/>
          <w:szCs w:val="26"/>
        </w:rPr>
        <w:t xml:space="preserve">’s EE&amp;C Plans were submitted by the </w:t>
      </w:r>
      <w:r w:rsidR="004F5A1E">
        <w:rPr>
          <w:sz w:val="26"/>
          <w:szCs w:val="26"/>
        </w:rPr>
        <w:t xml:space="preserve">OCA; </w:t>
      </w:r>
      <w:r w:rsidR="00C54FE7">
        <w:rPr>
          <w:sz w:val="26"/>
          <w:szCs w:val="26"/>
        </w:rPr>
        <w:t xml:space="preserve">the </w:t>
      </w:r>
      <w:r w:rsidR="004F5A1E">
        <w:rPr>
          <w:sz w:val="26"/>
          <w:szCs w:val="26"/>
        </w:rPr>
        <w:t xml:space="preserve">OTS; </w:t>
      </w:r>
      <w:r w:rsidR="00C54FE7">
        <w:rPr>
          <w:sz w:val="26"/>
          <w:szCs w:val="26"/>
        </w:rPr>
        <w:t xml:space="preserve">the </w:t>
      </w:r>
      <w:r w:rsidR="004F5A1E">
        <w:rPr>
          <w:sz w:val="26"/>
          <w:szCs w:val="26"/>
        </w:rPr>
        <w:t xml:space="preserve">DEP; EnerNOC; MEIUG, </w:t>
      </w:r>
      <w:r w:rsidR="004F5A1E" w:rsidRPr="004F5A1E">
        <w:rPr>
          <w:i/>
          <w:sz w:val="26"/>
          <w:szCs w:val="26"/>
        </w:rPr>
        <w:t>et al</w:t>
      </w:r>
      <w:r w:rsidR="00AF4E31">
        <w:rPr>
          <w:sz w:val="26"/>
          <w:szCs w:val="26"/>
        </w:rPr>
        <w:t xml:space="preserve">.; </w:t>
      </w:r>
      <w:r w:rsidR="00916F96">
        <w:rPr>
          <w:sz w:val="26"/>
          <w:szCs w:val="26"/>
        </w:rPr>
        <w:t>E Cubed</w:t>
      </w:r>
      <w:r w:rsidR="00EC4539">
        <w:rPr>
          <w:sz w:val="26"/>
          <w:szCs w:val="26"/>
        </w:rPr>
        <w:t>; Envinity, Inc.</w:t>
      </w:r>
      <w:r w:rsidR="00F459D8">
        <w:rPr>
          <w:sz w:val="26"/>
          <w:szCs w:val="26"/>
        </w:rPr>
        <w:t xml:space="preserve"> (Envinity)</w:t>
      </w:r>
      <w:r w:rsidR="00BA1CA3">
        <w:rPr>
          <w:sz w:val="26"/>
          <w:szCs w:val="26"/>
        </w:rPr>
        <w:t>;</w:t>
      </w:r>
      <w:r w:rsidR="00F459D8">
        <w:rPr>
          <w:rStyle w:val="FootnoteReference"/>
          <w:sz w:val="26"/>
          <w:szCs w:val="26"/>
        </w:rPr>
        <w:footnoteReference w:id="15"/>
      </w:r>
      <w:r w:rsidR="00EC4539">
        <w:rPr>
          <w:sz w:val="26"/>
          <w:szCs w:val="26"/>
        </w:rPr>
        <w:t xml:space="preserve"> Affordable Energy Now, LLC</w:t>
      </w:r>
      <w:r w:rsidR="00721561">
        <w:rPr>
          <w:sz w:val="26"/>
          <w:szCs w:val="26"/>
        </w:rPr>
        <w:t xml:space="preserve"> (Affordable Energy)</w:t>
      </w:r>
      <w:r w:rsidR="00BA1CA3">
        <w:rPr>
          <w:sz w:val="26"/>
          <w:szCs w:val="26"/>
        </w:rPr>
        <w:t>;</w:t>
      </w:r>
      <w:r w:rsidR="00FD1C2C">
        <w:rPr>
          <w:rStyle w:val="FootnoteReference"/>
          <w:sz w:val="26"/>
          <w:szCs w:val="26"/>
        </w:rPr>
        <w:footnoteReference w:id="16"/>
      </w:r>
      <w:r w:rsidR="00EC4539">
        <w:rPr>
          <w:sz w:val="26"/>
          <w:szCs w:val="26"/>
        </w:rPr>
        <w:t xml:space="preserve"> </w:t>
      </w:r>
      <w:r w:rsidR="009A4E61">
        <w:rPr>
          <w:sz w:val="26"/>
          <w:szCs w:val="26"/>
        </w:rPr>
        <w:t>Keystone Energy Efficiency Alliance (KEEA)</w:t>
      </w:r>
      <w:r w:rsidR="00BA1CA3">
        <w:rPr>
          <w:sz w:val="26"/>
          <w:szCs w:val="26"/>
        </w:rPr>
        <w:t>;</w:t>
      </w:r>
      <w:r w:rsidR="009A4E61">
        <w:rPr>
          <w:rStyle w:val="FootnoteReference"/>
          <w:sz w:val="26"/>
          <w:szCs w:val="26"/>
        </w:rPr>
        <w:footnoteReference w:id="17"/>
      </w:r>
      <w:r w:rsidR="00EC4539">
        <w:rPr>
          <w:sz w:val="26"/>
          <w:szCs w:val="26"/>
        </w:rPr>
        <w:t xml:space="preserve"> PA Home Energy</w:t>
      </w:r>
      <w:r w:rsidR="00E55360">
        <w:rPr>
          <w:sz w:val="26"/>
          <w:szCs w:val="26"/>
        </w:rPr>
        <w:t>;</w:t>
      </w:r>
      <w:r w:rsidR="00EC4539">
        <w:rPr>
          <w:rStyle w:val="FootnoteReference"/>
          <w:sz w:val="26"/>
          <w:szCs w:val="26"/>
        </w:rPr>
        <w:footnoteReference w:id="18"/>
      </w:r>
      <w:r w:rsidR="00BA1CA3">
        <w:rPr>
          <w:sz w:val="26"/>
          <w:szCs w:val="26"/>
        </w:rPr>
        <w:t xml:space="preserve"> and the National Association of Energy Service Companies (NAESCO)</w:t>
      </w:r>
      <w:r w:rsidR="007D635E">
        <w:rPr>
          <w:sz w:val="26"/>
          <w:szCs w:val="26"/>
        </w:rPr>
        <w:t>.</w:t>
      </w:r>
      <w:r w:rsidR="00BA1CA3">
        <w:rPr>
          <w:rStyle w:val="FootnoteReference"/>
          <w:sz w:val="26"/>
          <w:szCs w:val="26"/>
        </w:rPr>
        <w:footnoteReference w:id="19"/>
      </w:r>
    </w:p>
    <w:p w:rsidR="00F57211" w:rsidRDefault="00F57211" w:rsidP="00F15DBB">
      <w:pPr>
        <w:spacing w:line="360" w:lineRule="auto"/>
        <w:ind w:firstLine="1440"/>
        <w:rPr>
          <w:sz w:val="26"/>
          <w:szCs w:val="26"/>
        </w:rPr>
      </w:pPr>
    </w:p>
    <w:p w:rsidR="000F3914" w:rsidRDefault="00970F81" w:rsidP="00F15DBB">
      <w:pPr>
        <w:spacing w:line="360" w:lineRule="auto"/>
        <w:ind w:firstLine="1440"/>
        <w:rPr>
          <w:sz w:val="26"/>
          <w:szCs w:val="26"/>
        </w:rPr>
      </w:pPr>
      <w:r>
        <w:rPr>
          <w:sz w:val="26"/>
          <w:szCs w:val="26"/>
        </w:rPr>
        <w:lastRenderedPageBreak/>
        <w:t xml:space="preserve">ALJ </w:t>
      </w:r>
      <w:r w:rsidR="004A16BE">
        <w:rPr>
          <w:sz w:val="26"/>
          <w:szCs w:val="26"/>
        </w:rPr>
        <w:t>Salapa</w:t>
      </w:r>
      <w:r>
        <w:rPr>
          <w:sz w:val="26"/>
          <w:szCs w:val="26"/>
        </w:rPr>
        <w:t xml:space="preserve"> held evidentiary hearings </w:t>
      </w:r>
      <w:r w:rsidR="004A16BE">
        <w:rPr>
          <w:sz w:val="26"/>
          <w:szCs w:val="26"/>
        </w:rPr>
        <w:t xml:space="preserve">at Harrisburg, Pennsylvania </w:t>
      </w:r>
      <w:r>
        <w:rPr>
          <w:sz w:val="26"/>
          <w:szCs w:val="26"/>
        </w:rPr>
        <w:t xml:space="preserve">on </w:t>
      </w:r>
      <w:r w:rsidR="00331F5D">
        <w:rPr>
          <w:sz w:val="26"/>
          <w:szCs w:val="26"/>
        </w:rPr>
        <w:t>August </w:t>
      </w:r>
      <w:r w:rsidR="004A16BE">
        <w:rPr>
          <w:sz w:val="26"/>
          <w:szCs w:val="26"/>
        </w:rPr>
        <w:t>31, 2009</w:t>
      </w:r>
      <w:r>
        <w:rPr>
          <w:sz w:val="26"/>
          <w:szCs w:val="26"/>
        </w:rPr>
        <w:t xml:space="preserve">.  </w:t>
      </w:r>
      <w:r w:rsidR="000F3914">
        <w:rPr>
          <w:sz w:val="26"/>
          <w:szCs w:val="26"/>
        </w:rPr>
        <w:t xml:space="preserve">By Order dated </w:t>
      </w:r>
      <w:r w:rsidR="00916F96">
        <w:rPr>
          <w:sz w:val="26"/>
          <w:szCs w:val="26"/>
        </w:rPr>
        <w:t xml:space="preserve">September 10, </w:t>
      </w:r>
      <w:r w:rsidR="000F3914">
        <w:rPr>
          <w:sz w:val="26"/>
          <w:szCs w:val="26"/>
        </w:rPr>
        <w:t xml:space="preserve">2009, ALJ Salapa granted requests to admit late-filed exhibits.  </w:t>
      </w:r>
    </w:p>
    <w:p w:rsidR="00ED468F" w:rsidRDefault="00916F96" w:rsidP="00F15DBB">
      <w:pPr>
        <w:spacing w:line="360" w:lineRule="auto"/>
        <w:ind w:firstLine="1440"/>
        <w:rPr>
          <w:sz w:val="26"/>
          <w:szCs w:val="26"/>
        </w:rPr>
      </w:pPr>
      <w:r>
        <w:rPr>
          <w:sz w:val="26"/>
          <w:szCs w:val="26"/>
        </w:rPr>
        <w:t xml:space="preserve"> </w:t>
      </w:r>
    </w:p>
    <w:p w:rsidR="000F3914" w:rsidRDefault="00314A85" w:rsidP="00F15DBB">
      <w:pPr>
        <w:spacing w:line="360" w:lineRule="auto"/>
        <w:ind w:firstLine="1440"/>
        <w:rPr>
          <w:sz w:val="26"/>
          <w:szCs w:val="26"/>
        </w:rPr>
      </w:pPr>
      <w:r>
        <w:rPr>
          <w:sz w:val="26"/>
          <w:szCs w:val="26"/>
        </w:rPr>
        <w:t>Main B</w:t>
      </w:r>
      <w:r w:rsidR="00970F81">
        <w:rPr>
          <w:sz w:val="26"/>
          <w:szCs w:val="26"/>
        </w:rPr>
        <w:t>riefs were filed o</w:t>
      </w:r>
      <w:r w:rsidR="000C414C">
        <w:rPr>
          <w:sz w:val="26"/>
          <w:szCs w:val="26"/>
        </w:rPr>
        <w:t xml:space="preserve">n </w:t>
      </w:r>
      <w:r w:rsidR="00B95BED">
        <w:rPr>
          <w:sz w:val="26"/>
          <w:szCs w:val="26"/>
        </w:rPr>
        <w:t xml:space="preserve">or </w:t>
      </w:r>
      <w:r w:rsidR="000F3914">
        <w:rPr>
          <w:sz w:val="26"/>
          <w:szCs w:val="26"/>
        </w:rPr>
        <w:t xml:space="preserve">about </w:t>
      </w:r>
      <w:r w:rsidR="00B95BED">
        <w:rPr>
          <w:sz w:val="26"/>
          <w:szCs w:val="26"/>
        </w:rPr>
        <w:t>September 11</w:t>
      </w:r>
      <w:r w:rsidR="000C414C">
        <w:rPr>
          <w:sz w:val="26"/>
          <w:szCs w:val="26"/>
        </w:rPr>
        <w:t>, 2009</w:t>
      </w:r>
      <w:r w:rsidR="00E932ED">
        <w:rPr>
          <w:sz w:val="26"/>
          <w:szCs w:val="26"/>
        </w:rPr>
        <w:t>,</w:t>
      </w:r>
      <w:r w:rsidR="000F3914">
        <w:rPr>
          <w:sz w:val="26"/>
          <w:szCs w:val="26"/>
        </w:rPr>
        <w:t xml:space="preserve"> by FirstEnergy</w:t>
      </w:r>
      <w:r w:rsidR="00752036">
        <w:rPr>
          <w:sz w:val="26"/>
          <w:szCs w:val="26"/>
        </w:rPr>
        <w:t>;</w:t>
      </w:r>
      <w:r w:rsidR="000F3914">
        <w:rPr>
          <w:sz w:val="26"/>
          <w:szCs w:val="26"/>
        </w:rPr>
        <w:t xml:space="preserve"> </w:t>
      </w:r>
      <w:r w:rsidR="00CE4193">
        <w:rPr>
          <w:sz w:val="26"/>
          <w:szCs w:val="26"/>
        </w:rPr>
        <w:t>the OCA</w:t>
      </w:r>
      <w:r w:rsidR="00752036">
        <w:rPr>
          <w:sz w:val="26"/>
          <w:szCs w:val="26"/>
        </w:rPr>
        <w:t>;</w:t>
      </w:r>
      <w:r w:rsidR="00CE4193">
        <w:rPr>
          <w:sz w:val="26"/>
          <w:szCs w:val="26"/>
        </w:rPr>
        <w:t xml:space="preserve"> the </w:t>
      </w:r>
      <w:r w:rsidR="000F3914">
        <w:rPr>
          <w:sz w:val="26"/>
          <w:szCs w:val="26"/>
        </w:rPr>
        <w:t>OSBA</w:t>
      </w:r>
      <w:r w:rsidR="00752036">
        <w:rPr>
          <w:sz w:val="26"/>
          <w:szCs w:val="26"/>
        </w:rPr>
        <w:t>;</w:t>
      </w:r>
      <w:r w:rsidR="000F3914">
        <w:rPr>
          <w:sz w:val="26"/>
          <w:szCs w:val="26"/>
        </w:rPr>
        <w:t xml:space="preserve"> </w:t>
      </w:r>
      <w:r w:rsidR="00CE4193">
        <w:rPr>
          <w:sz w:val="26"/>
          <w:szCs w:val="26"/>
        </w:rPr>
        <w:t xml:space="preserve">the </w:t>
      </w:r>
      <w:r w:rsidR="000F3914">
        <w:rPr>
          <w:sz w:val="26"/>
          <w:szCs w:val="26"/>
        </w:rPr>
        <w:t>O</w:t>
      </w:r>
      <w:r w:rsidR="00CE4193">
        <w:rPr>
          <w:sz w:val="26"/>
          <w:szCs w:val="26"/>
        </w:rPr>
        <w:t>TS</w:t>
      </w:r>
      <w:r w:rsidR="00752036">
        <w:rPr>
          <w:sz w:val="26"/>
          <w:szCs w:val="26"/>
        </w:rPr>
        <w:t>;</w:t>
      </w:r>
      <w:r w:rsidR="00CE4193">
        <w:rPr>
          <w:sz w:val="26"/>
          <w:szCs w:val="26"/>
        </w:rPr>
        <w:t xml:space="preserve"> the DEP</w:t>
      </w:r>
      <w:r w:rsidR="00752036">
        <w:rPr>
          <w:sz w:val="26"/>
          <w:szCs w:val="26"/>
        </w:rPr>
        <w:t>;</w:t>
      </w:r>
      <w:r w:rsidR="00CE4193">
        <w:rPr>
          <w:sz w:val="26"/>
          <w:szCs w:val="26"/>
        </w:rPr>
        <w:t xml:space="preserve"> </w:t>
      </w:r>
      <w:r w:rsidR="005615ED">
        <w:rPr>
          <w:sz w:val="26"/>
          <w:szCs w:val="26"/>
        </w:rPr>
        <w:t xml:space="preserve">ClearChoice; </w:t>
      </w:r>
      <w:r w:rsidR="00CE4193">
        <w:rPr>
          <w:sz w:val="26"/>
          <w:szCs w:val="26"/>
        </w:rPr>
        <w:t>EnerNOC</w:t>
      </w:r>
      <w:r w:rsidR="00752036">
        <w:rPr>
          <w:sz w:val="26"/>
          <w:szCs w:val="26"/>
        </w:rPr>
        <w:t>;</w:t>
      </w:r>
      <w:r w:rsidR="00CE4193">
        <w:rPr>
          <w:sz w:val="26"/>
          <w:szCs w:val="26"/>
        </w:rPr>
        <w:t xml:space="preserve"> FDSI</w:t>
      </w:r>
      <w:r w:rsidR="00752036">
        <w:rPr>
          <w:sz w:val="26"/>
          <w:szCs w:val="26"/>
        </w:rPr>
        <w:t>;</w:t>
      </w:r>
      <w:r w:rsidR="00CE4193">
        <w:rPr>
          <w:sz w:val="26"/>
          <w:szCs w:val="26"/>
        </w:rPr>
        <w:t xml:space="preserve"> MEIUG, </w:t>
      </w:r>
      <w:r w:rsidR="00CE4193" w:rsidRPr="00CE4193">
        <w:rPr>
          <w:i/>
          <w:sz w:val="26"/>
          <w:szCs w:val="26"/>
        </w:rPr>
        <w:t>et al.</w:t>
      </w:r>
      <w:r w:rsidR="00752036">
        <w:rPr>
          <w:sz w:val="26"/>
          <w:szCs w:val="26"/>
        </w:rPr>
        <w:t>;</w:t>
      </w:r>
      <w:r w:rsidR="00CE4193">
        <w:rPr>
          <w:sz w:val="26"/>
          <w:szCs w:val="26"/>
        </w:rPr>
        <w:t xml:space="preserve"> ACORN</w:t>
      </w:r>
      <w:r w:rsidR="00752036">
        <w:rPr>
          <w:sz w:val="26"/>
          <w:szCs w:val="26"/>
        </w:rPr>
        <w:t>;</w:t>
      </w:r>
      <w:r w:rsidR="000F3914">
        <w:rPr>
          <w:sz w:val="26"/>
          <w:szCs w:val="26"/>
        </w:rPr>
        <w:t xml:space="preserve"> </w:t>
      </w:r>
      <w:r w:rsidR="00CE4193">
        <w:rPr>
          <w:sz w:val="26"/>
          <w:szCs w:val="26"/>
        </w:rPr>
        <w:t>Rep. George</w:t>
      </w:r>
      <w:r w:rsidR="00752036">
        <w:rPr>
          <w:sz w:val="26"/>
          <w:szCs w:val="26"/>
        </w:rPr>
        <w:t>;</w:t>
      </w:r>
      <w:r w:rsidR="00CE4193">
        <w:rPr>
          <w:sz w:val="26"/>
          <w:szCs w:val="26"/>
        </w:rPr>
        <w:t xml:space="preserve"> </w:t>
      </w:r>
      <w:r w:rsidR="00752036">
        <w:rPr>
          <w:sz w:val="26"/>
          <w:szCs w:val="26"/>
        </w:rPr>
        <w:t xml:space="preserve">and the UGI Distribution Companies, Peoples and NFG (collectively, </w:t>
      </w:r>
      <w:r w:rsidR="000F3914">
        <w:rPr>
          <w:sz w:val="26"/>
          <w:szCs w:val="26"/>
        </w:rPr>
        <w:t>the NGDCs</w:t>
      </w:r>
      <w:r w:rsidR="00752036">
        <w:rPr>
          <w:sz w:val="26"/>
          <w:szCs w:val="26"/>
        </w:rPr>
        <w:t>)</w:t>
      </w:r>
      <w:r w:rsidR="00CE4193">
        <w:rPr>
          <w:sz w:val="26"/>
          <w:szCs w:val="26"/>
        </w:rPr>
        <w:t>.</w:t>
      </w:r>
      <w:r w:rsidR="000F3914">
        <w:rPr>
          <w:sz w:val="26"/>
          <w:szCs w:val="26"/>
        </w:rPr>
        <w:t xml:space="preserve"> </w:t>
      </w:r>
    </w:p>
    <w:p w:rsidR="000F3914" w:rsidRDefault="000F3914" w:rsidP="00F15DBB">
      <w:pPr>
        <w:spacing w:line="360" w:lineRule="auto"/>
        <w:ind w:firstLine="1440"/>
        <w:rPr>
          <w:sz w:val="26"/>
          <w:szCs w:val="26"/>
        </w:rPr>
      </w:pPr>
    </w:p>
    <w:p w:rsidR="005615ED" w:rsidRPr="005615ED" w:rsidRDefault="000C414C" w:rsidP="00F15DBB">
      <w:pPr>
        <w:spacing w:line="360" w:lineRule="auto"/>
        <w:ind w:firstLine="1440"/>
        <w:rPr>
          <w:sz w:val="26"/>
          <w:szCs w:val="26"/>
        </w:rPr>
      </w:pPr>
      <w:r>
        <w:rPr>
          <w:sz w:val="26"/>
          <w:szCs w:val="26"/>
        </w:rPr>
        <w:t>Reply Briefs were filed</w:t>
      </w:r>
      <w:r w:rsidR="00970F81">
        <w:rPr>
          <w:sz w:val="26"/>
          <w:szCs w:val="26"/>
        </w:rPr>
        <w:t xml:space="preserve"> </w:t>
      </w:r>
      <w:r>
        <w:rPr>
          <w:sz w:val="26"/>
          <w:szCs w:val="26"/>
        </w:rPr>
        <w:t>on</w:t>
      </w:r>
      <w:r w:rsidR="00B95BED">
        <w:rPr>
          <w:sz w:val="26"/>
          <w:szCs w:val="26"/>
        </w:rPr>
        <w:t xml:space="preserve"> or </w:t>
      </w:r>
      <w:r w:rsidR="005615ED">
        <w:rPr>
          <w:sz w:val="26"/>
          <w:szCs w:val="26"/>
        </w:rPr>
        <w:t>a</w:t>
      </w:r>
      <w:r w:rsidR="00B95BED">
        <w:rPr>
          <w:sz w:val="26"/>
          <w:szCs w:val="26"/>
        </w:rPr>
        <w:t>b</w:t>
      </w:r>
      <w:r w:rsidR="005615ED">
        <w:rPr>
          <w:sz w:val="26"/>
          <w:szCs w:val="26"/>
        </w:rPr>
        <w:t xml:space="preserve">out </w:t>
      </w:r>
      <w:r w:rsidR="00B95BED">
        <w:rPr>
          <w:sz w:val="26"/>
          <w:szCs w:val="26"/>
        </w:rPr>
        <w:t>September 21</w:t>
      </w:r>
      <w:r w:rsidR="00970F81">
        <w:rPr>
          <w:sz w:val="26"/>
          <w:szCs w:val="26"/>
        </w:rPr>
        <w:t>, 2009</w:t>
      </w:r>
      <w:r w:rsidR="00E932ED">
        <w:rPr>
          <w:sz w:val="26"/>
          <w:szCs w:val="26"/>
        </w:rPr>
        <w:t>,</w:t>
      </w:r>
      <w:r w:rsidR="005615ED">
        <w:rPr>
          <w:sz w:val="26"/>
          <w:szCs w:val="26"/>
        </w:rPr>
        <w:t xml:space="preserve"> by FirstEnergy; the OCA; the OSBA; the OTS; ClearChoice; EnerNOC; the NGDCs; and MEIUG, </w:t>
      </w:r>
      <w:r w:rsidR="005615ED" w:rsidRPr="005615ED">
        <w:rPr>
          <w:i/>
          <w:sz w:val="26"/>
          <w:szCs w:val="26"/>
        </w:rPr>
        <w:t>et al</w:t>
      </w:r>
      <w:r w:rsidR="005615ED">
        <w:rPr>
          <w:sz w:val="26"/>
          <w:szCs w:val="26"/>
        </w:rPr>
        <w:t xml:space="preserve">.  In addition, </w:t>
      </w:r>
      <w:r w:rsidR="005615ED">
        <w:rPr>
          <w:i/>
          <w:sz w:val="26"/>
          <w:szCs w:val="26"/>
        </w:rPr>
        <w:t xml:space="preserve">Amicus Curiae </w:t>
      </w:r>
      <w:r w:rsidR="003C2D37">
        <w:rPr>
          <w:sz w:val="26"/>
          <w:szCs w:val="26"/>
        </w:rPr>
        <w:t xml:space="preserve">Independent Oil and Gas Association of Pennsylvania (IOGA) submitted a Reply Brief.  </w:t>
      </w:r>
    </w:p>
    <w:p w:rsidR="003C2D37" w:rsidRDefault="003C2D37" w:rsidP="00F15DBB">
      <w:pPr>
        <w:spacing w:line="360" w:lineRule="auto"/>
        <w:ind w:firstLine="1440"/>
        <w:rPr>
          <w:sz w:val="26"/>
          <w:szCs w:val="26"/>
        </w:rPr>
      </w:pPr>
    </w:p>
    <w:p w:rsidR="003C2D37" w:rsidRDefault="001C185A" w:rsidP="00F15DBB">
      <w:pPr>
        <w:spacing w:line="360" w:lineRule="auto"/>
        <w:ind w:firstLine="1440"/>
        <w:rPr>
          <w:sz w:val="26"/>
          <w:szCs w:val="26"/>
        </w:rPr>
      </w:pPr>
      <w:r>
        <w:rPr>
          <w:sz w:val="26"/>
          <w:szCs w:val="26"/>
        </w:rPr>
        <w:t>Also on September 21, 2009, FirstEnergy filed revised EE&amp;C Plans.</w:t>
      </w:r>
      <w:r w:rsidR="00C429AB">
        <w:rPr>
          <w:rStyle w:val="FootnoteReference"/>
          <w:sz w:val="26"/>
          <w:szCs w:val="26"/>
        </w:rPr>
        <w:footnoteReference w:id="20"/>
      </w:r>
      <w:r>
        <w:rPr>
          <w:sz w:val="26"/>
          <w:szCs w:val="26"/>
        </w:rPr>
        <w:t xml:space="preserve"> </w:t>
      </w:r>
      <w:r w:rsidR="00970F81">
        <w:rPr>
          <w:sz w:val="26"/>
          <w:szCs w:val="26"/>
        </w:rPr>
        <w:t xml:space="preserve"> On </w:t>
      </w:r>
      <w:r w:rsidR="00F427D1">
        <w:rPr>
          <w:sz w:val="26"/>
          <w:szCs w:val="26"/>
        </w:rPr>
        <w:t>September 25</w:t>
      </w:r>
      <w:r w:rsidR="004A16BE">
        <w:rPr>
          <w:sz w:val="26"/>
          <w:szCs w:val="26"/>
        </w:rPr>
        <w:t xml:space="preserve">, </w:t>
      </w:r>
      <w:r w:rsidR="00970F81">
        <w:rPr>
          <w:sz w:val="26"/>
          <w:szCs w:val="26"/>
        </w:rPr>
        <w:t xml:space="preserve">2009, </w:t>
      </w:r>
      <w:r w:rsidR="006D28D3">
        <w:rPr>
          <w:sz w:val="26"/>
          <w:szCs w:val="26"/>
        </w:rPr>
        <w:t xml:space="preserve">the Companies filed replacement pages </w:t>
      </w:r>
      <w:r w:rsidR="003C5C58">
        <w:rPr>
          <w:sz w:val="26"/>
          <w:szCs w:val="26"/>
        </w:rPr>
        <w:t xml:space="preserve">due to </w:t>
      </w:r>
      <w:r w:rsidR="00F427D1">
        <w:rPr>
          <w:sz w:val="26"/>
          <w:szCs w:val="26"/>
        </w:rPr>
        <w:t xml:space="preserve">formatting and printing errors </w:t>
      </w:r>
      <w:r w:rsidR="003C5C58">
        <w:rPr>
          <w:sz w:val="26"/>
          <w:szCs w:val="26"/>
        </w:rPr>
        <w:t xml:space="preserve">on </w:t>
      </w:r>
      <w:r w:rsidR="00F427D1">
        <w:rPr>
          <w:sz w:val="26"/>
          <w:szCs w:val="26"/>
        </w:rPr>
        <w:t xml:space="preserve">the corresponding pages in the </w:t>
      </w:r>
      <w:r w:rsidR="003C2D37">
        <w:rPr>
          <w:sz w:val="26"/>
          <w:szCs w:val="26"/>
        </w:rPr>
        <w:t>September 21, 2009</w:t>
      </w:r>
      <w:r w:rsidR="003C5C58">
        <w:rPr>
          <w:sz w:val="26"/>
          <w:szCs w:val="26"/>
        </w:rPr>
        <w:t xml:space="preserve"> Plans</w:t>
      </w:r>
      <w:r w:rsidR="003C2D37">
        <w:rPr>
          <w:sz w:val="26"/>
          <w:szCs w:val="26"/>
        </w:rPr>
        <w:t xml:space="preserve">.  </w:t>
      </w:r>
    </w:p>
    <w:p w:rsidR="003C2D37" w:rsidRDefault="003C2D37" w:rsidP="00F15DBB">
      <w:pPr>
        <w:spacing w:line="360" w:lineRule="auto"/>
        <w:ind w:firstLine="1440"/>
        <w:rPr>
          <w:sz w:val="26"/>
          <w:szCs w:val="26"/>
        </w:rPr>
      </w:pPr>
    </w:p>
    <w:p w:rsidR="00B830F4" w:rsidRDefault="003C2D37" w:rsidP="00F15DBB">
      <w:pPr>
        <w:spacing w:line="360" w:lineRule="auto"/>
        <w:ind w:firstLine="1440"/>
        <w:rPr>
          <w:sz w:val="26"/>
          <w:szCs w:val="26"/>
        </w:rPr>
      </w:pPr>
      <w:r>
        <w:rPr>
          <w:sz w:val="26"/>
          <w:szCs w:val="26"/>
        </w:rPr>
        <w:t>O</w:t>
      </w:r>
      <w:r w:rsidR="006D28D3">
        <w:rPr>
          <w:sz w:val="26"/>
          <w:szCs w:val="26"/>
        </w:rPr>
        <w:t xml:space="preserve">n September 22, 2009, </w:t>
      </w:r>
      <w:r w:rsidR="00970F81">
        <w:rPr>
          <w:sz w:val="26"/>
          <w:szCs w:val="26"/>
        </w:rPr>
        <w:t xml:space="preserve">ALJ </w:t>
      </w:r>
      <w:r w:rsidR="004A16BE">
        <w:rPr>
          <w:sz w:val="26"/>
          <w:szCs w:val="26"/>
        </w:rPr>
        <w:t>Salapa</w:t>
      </w:r>
      <w:r w:rsidR="00970F81">
        <w:rPr>
          <w:sz w:val="26"/>
          <w:szCs w:val="26"/>
        </w:rPr>
        <w:t xml:space="preserve"> certified the record to the Commission for consideration and disposition.</w:t>
      </w:r>
    </w:p>
    <w:p w:rsidR="00FD03CF" w:rsidRDefault="00FD03CF" w:rsidP="00F15DBB">
      <w:pPr>
        <w:spacing w:line="360" w:lineRule="auto"/>
        <w:ind w:firstLine="1440"/>
        <w:rPr>
          <w:sz w:val="26"/>
          <w:szCs w:val="26"/>
        </w:rPr>
      </w:pPr>
    </w:p>
    <w:p w:rsidR="001C185A" w:rsidRDefault="001C185A" w:rsidP="00F15DBB">
      <w:pPr>
        <w:spacing w:line="360" w:lineRule="auto"/>
        <w:ind w:firstLine="1440"/>
        <w:rPr>
          <w:sz w:val="26"/>
          <w:szCs w:val="26"/>
        </w:rPr>
      </w:pPr>
    </w:p>
    <w:p w:rsidR="001A395D" w:rsidRPr="0056717C" w:rsidRDefault="00154497" w:rsidP="00695B97">
      <w:pPr>
        <w:pStyle w:val="Heading1"/>
      </w:pPr>
      <w:bookmarkStart w:id="10" w:name="_Toc242516218"/>
      <w:bookmarkStart w:id="11" w:name="_Toc244499274"/>
      <w:r>
        <w:lastRenderedPageBreak/>
        <w:t>IV</w:t>
      </w:r>
      <w:r w:rsidR="00B6382E">
        <w:t xml:space="preserve">.  </w:t>
      </w:r>
      <w:r w:rsidR="006F4B78">
        <w:tab/>
      </w:r>
      <w:r w:rsidR="001A395D" w:rsidRPr="00695B97">
        <w:t>Description</w:t>
      </w:r>
      <w:r w:rsidR="001A395D" w:rsidRPr="0056717C">
        <w:t xml:space="preserve"> of the Plan</w:t>
      </w:r>
      <w:r w:rsidR="00486BC7">
        <w:t>s</w:t>
      </w:r>
      <w:bookmarkEnd w:id="10"/>
      <w:bookmarkEnd w:id="11"/>
      <w:r w:rsidR="001A395D" w:rsidRPr="0056717C">
        <w:t xml:space="preserve"> </w:t>
      </w:r>
    </w:p>
    <w:p w:rsidR="001A395D" w:rsidRDefault="001A395D" w:rsidP="00654E90">
      <w:pPr>
        <w:pStyle w:val="Heading1"/>
        <w:rPr>
          <w:szCs w:val="26"/>
        </w:rPr>
      </w:pPr>
    </w:p>
    <w:p w:rsidR="00486BC7" w:rsidRDefault="00486BC7" w:rsidP="00486BC7">
      <w:pPr>
        <w:pStyle w:val="Heading2"/>
      </w:pPr>
      <w:bookmarkStart w:id="12" w:name="_Toc242516219"/>
      <w:bookmarkStart w:id="13" w:name="_Toc244499275"/>
      <w:r>
        <w:t>A.</w:t>
      </w:r>
      <w:r>
        <w:tab/>
        <w:t>Requirements of Act 129</w:t>
      </w:r>
      <w:bookmarkEnd w:id="12"/>
      <w:bookmarkEnd w:id="13"/>
    </w:p>
    <w:p w:rsidR="00486BC7" w:rsidRDefault="00486BC7" w:rsidP="00CF23E2">
      <w:pPr>
        <w:spacing w:line="360" w:lineRule="auto"/>
        <w:ind w:firstLine="1440"/>
      </w:pPr>
    </w:p>
    <w:p w:rsidR="00CF23E2" w:rsidRPr="006703B1" w:rsidRDefault="00184812" w:rsidP="00CF23E2">
      <w:pPr>
        <w:spacing w:line="360" w:lineRule="auto"/>
        <w:ind w:firstLine="1440"/>
        <w:rPr>
          <w:sz w:val="26"/>
          <w:szCs w:val="26"/>
        </w:rPr>
      </w:pPr>
      <w:r>
        <w:rPr>
          <w:sz w:val="26"/>
          <w:szCs w:val="26"/>
        </w:rPr>
        <w:t>Act 129 requires</w:t>
      </w:r>
      <w:r w:rsidR="00150A71">
        <w:rPr>
          <w:sz w:val="26"/>
          <w:szCs w:val="26"/>
        </w:rPr>
        <w:t xml:space="preserve"> that a</w:t>
      </w:r>
      <w:r w:rsidR="00CF23E2" w:rsidRPr="006703B1">
        <w:rPr>
          <w:sz w:val="26"/>
          <w:szCs w:val="26"/>
        </w:rPr>
        <w:t>n EDC</w:t>
      </w:r>
      <w:r w:rsidR="001F4F60">
        <w:rPr>
          <w:sz w:val="26"/>
          <w:szCs w:val="26"/>
        </w:rPr>
        <w:t xml:space="preserve"> </w:t>
      </w:r>
      <w:r>
        <w:rPr>
          <w:sz w:val="26"/>
          <w:szCs w:val="26"/>
        </w:rPr>
        <w:t>wi</w:t>
      </w:r>
      <w:r w:rsidR="00932A39">
        <w:rPr>
          <w:sz w:val="26"/>
          <w:szCs w:val="26"/>
        </w:rPr>
        <w:t xml:space="preserve">th 100,000 or more customers </w:t>
      </w:r>
      <w:r>
        <w:rPr>
          <w:sz w:val="26"/>
          <w:szCs w:val="26"/>
        </w:rPr>
        <w:t xml:space="preserve">adopt an EE&amp;C plan, subject to approval by the Commission, to </w:t>
      </w:r>
      <w:r w:rsidR="00CF23E2" w:rsidRPr="006703B1">
        <w:rPr>
          <w:sz w:val="26"/>
          <w:szCs w:val="26"/>
        </w:rPr>
        <w:t xml:space="preserve">reduce electric consumption by at least </w:t>
      </w:r>
      <w:r w:rsidR="005C42A9">
        <w:rPr>
          <w:sz w:val="26"/>
          <w:szCs w:val="26"/>
        </w:rPr>
        <w:t>1%</w:t>
      </w:r>
      <w:r w:rsidR="00CF23E2" w:rsidRPr="006703B1">
        <w:rPr>
          <w:sz w:val="26"/>
          <w:szCs w:val="26"/>
        </w:rPr>
        <w:t xml:space="preserve"> of its expected consumption for </w:t>
      </w:r>
      <w:r w:rsidR="001F4F60">
        <w:rPr>
          <w:sz w:val="26"/>
          <w:szCs w:val="26"/>
        </w:rPr>
        <w:t xml:space="preserve">the period </w:t>
      </w:r>
      <w:r w:rsidR="00CF23E2" w:rsidRPr="006703B1">
        <w:rPr>
          <w:sz w:val="26"/>
          <w:szCs w:val="26"/>
        </w:rPr>
        <w:t>June 1, 2009</w:t>
      </w:r>
      <w:r w:rsidR="00E932ED">
        <w:rPr>
          <w:sz w:val="26"/>
          <w:szCs w:val="26"/>
        </w:rPr>
        <w:t>,</w:t>
      </w:r>
      <w:r w:rsidR="00CF23E2" w:rsidRPr="006703B1">
        <w:rPr>
          <w:sz w:val="26"/>
          <w:szCs w:val="26"/>
        </w:rPr>
        <w:t xml:space="preserve"> through May 31, 2010, adjusted for weather and extraordinary loads.  This </w:t>
      </w:r>
      <w:r w:rsidR="005C42A9">
        <w:rPr>
          <w:sz w:val="26"/>
          <w:szCs w:val="26"/>
        </w:rPr>
        <w:t>1%</w:t>
      </w:r>
      <w:r w:rsidR="00CF23E2" w:rsidRPr="006703B1">
        <w:rPr>
          <w:sz w:val="26"/>
          <w:szCs w:val="26"/>
        </w:rPr>
        <w:t xml:space="preserve"> reduction is to be accomplished by May 31, 2011.</w:t>
      </w:r>
      <w:r>
        <w:rPr>
          <w:sz w:val="26"/>
          <w:szCs w:val="26"/>
        </w:rPr>
        <w:t xml:space="preserve">  66 Pa. C.S. § 2806.1(c)(1).  Further, b</w:t>
      </w:r>
      <w:r w:rsidR="00CF23E2" w:rsidRPr="006703B1">
        <w:rPr>
          <w:sz w:val="26"/>
          <w:szCs w:val="26"/>
        </w:rPr>
        <w:t xml:space="preserve">y May 31, 2013, the </w:t>
      </w:r>
      <w:r>
        <w:rPr>
          <w:sz w:val="26"/>
          <w:szCs w:val="26"/>
        </w:rPr>
        <w:t xml:space="preserve">EDC is required to reduce its </w:t>
      </w:r>
      <w:r w:rsidR="00CF23E2" w:rsidRPr="006703B1">
        <w:rPr>
          <w:sz w:val="26"/>
          <w:szCs w:val="26"/>
        </w:rPr>
        <w:t xml:space="preserve">total annual weather-normalized consumption by a minimum of </w:t>
      </w:r>
      <w:r w:rsidR="005C42A9">
        <w:rPr>
          <w:sz w:val="26"/>
          <w:szCs w:val="26"/>
        </w:rPr>
        <w:t>3%</w:t>
      </w:r>
      <w:r w:rsidR="00CF23E2" w:rsidRPr="006703B1">
        <w:rPr>
          <w:sz w:val="26"/>
          <w:szCs w:val="26"/>
        </w:rPr>
        <w:t xml:space="preserve">.  66 Pa. C.S. § 2806.1(c)(2).  Also, by May 31, 2013, </w:t>
      </w:r>
      <w:r>
        <w:rPr>
          <w:sz w:val="26"/>
          <w:szCs w:val="26"/>
        </w:rPr>
        <w:t xml:space="preserve">the EDC is </w:t>
      </w:r>
      <w:r w:rsidR="000940D5">
        <w:rPr>
          <w:sz w:val="26"/>
          <w:szCs w:val="26"/>
        </w:rPr>
        <w:t xml:space="preserve">required to reduce its </w:t>
      </w:r>
      <w:r w:rsidR="00CF23E2" w:rsidRPr="006703B1">
        <w:rPr>
          <w:sz w:val="26"/>
          <w:szCs w:val="26"/>
        </w:rPr>
        <w:t xml:space="preserve">peak demand </w:t>
      </w:r>
      <w:r w:rsidR="000940D5">
        <w:rPr>
          <w:sz w:val="26"/>
          <w:szCs w:val="26"/>
        </w:rPr>
        <w:t>b</w:t>
      </w:r>
      <w:r w:rsidR="00CF23E2" w:rsidRPr="006703B1">
        <w:rPr>
          <w:sz w:val="26"/>
          <w:szCs w:val="26"/>
        </w:rPr>
        <w:t xml:space="preserve">y a minimum of </w:t>
      </w:r>
      <w:r w:rsidR="005C42A9">
        <w:rPr>
          <w:sz w:val="26"/>
          <w:szCs w:val="26"/>
        </w:rPr>
        <w:t>4.5%</w:t>
      </w:r>
      <w:r w:rsidR="00CF23E2" w:rsidRPr="006703B1">
        <w:rPr>
          <w:sz w:val="26"/>
          <w:szCs w:val="26"/>
        </w:rPr>
        <w:t xml:space="preserve"> of the EDC’s annual system peak demand in the 100 hours of highest demand, measured against the EDC’s peak demand during the period of June 1, 2007</w:t>
      </w:r>
      <w:r w:rsidR="000940D5">
        <w:rPr>
          <w:sz w:val="26"/>
          <w:szCs w:val="26"/>
        </w:rPr>
        <w:t>,</w:t>
      </w:r>
      <w:r w:rsidR="00CF23E2" w:rsidRPr="006703B1">
        <w:rPr>
          <w:sz w:val="26"/>
          <w:szCs w:val="26"/>
        </w:rPr>
        <w:t xml:space="preserve"> through May 31, 2008. 66 Pa. C.S. § 2806.1(d)(1).  </w:t>
      </w:r>
    </w:p>
    <w:p w:rsidR="00CF23E2" w:rsidRPr="006703B1" w:rsidRDefault="00CF23E2" w:rsidP="00CF23E2">
      <w:pPr>
        <w:spacing w:line="360" w:lineRule="auto"/>
        <w:ind w:firstLine="1440"/>
        <w:rPr>
          <w:sz w:val="26"/>
          <w:szCs w:val="26"/>
        </w:rPr>
      </w:pPr>
    </w:p>
    <w:p w:rsidR="00CF23E2" w:rsidRPr="006703B1" w:rsidRDefault="00CF23E2" w:rsidP="00CF23E2">
      <w:pPr>
        <w:spacing w:line="360" w:lineRule="auto"/>
        <w:ind w:firstLine="1440"/>
        <w:rPr>
          <w:sz w:val="26"/>
          <w:szCs w:val="26"/>
        </w:rPr>
      </w:pPr>
      <w:r w:rsidRPr="006703B1">
        <w:rPr>
          <w:sz w:val="26"/>
          <w:szCs w:val="26"/>
        </w:rPr>
        <w:t xml:space="preserve">Act 129 </w:t>
      </w:r>
      <w:r w:rsidR="00A668C3" w:rsidRPr="006703B1">
        <w:rPr>
          <w:sz w:val="26"/>
          <w:szCs w:val="26"/>
        </w:rPr>
        <w:t xml:space="preserve">also </w:t>
      </w:r>
      <w:r w:rsidRPr="006703B1">
        <w:rPr>
          <w:sz w:val="26"/>
          <w:szCs w:val="26"/>
        </w:rPr>
        <w:t>establishes the following plan requirements:</w:t>
      </w:r>
    </w:p>
    <w:p w:rsidR="00CF23E2" w:rsidRPr="006703B1" w:rsidRDefault="00CF23E2" w:rsidP="00CF23E2">
      <w:pPr>
        <w:spacing w:line="360" w:lineRule="auto"/>
        <w:ind w:firstLine="1440"/>
        <w:rPr>
          <w:sz w:val="26"/>
          <w:szCs w:val="26"/>
        </w:rPr>
      </w:pPr>
    </w:p>
    <w:p w:rsidR="00CF23E2" w:rsidRPr="006703B1" w:rsidRDefault="00CF23E2" w:rsidP="00CF23E2">
      <w:pPr>
        <w:ind w:left="2160" w:hanging="720"/>
        <w:rPr>
          <w:sz w:val="26"/>
          <w:szCs w:val="26"/>
        </w:rPr>
      </w:pPr>
      <w:r w:rsidRPr="006703B1">
        <w:rPr>
          <w:sz w:val="26"/>
          <w:szCs w:val="26"/>
        </w:rPr>
        <w:t>(1)</w:t>
      </w:r>
      <w:r w:rsidRPr="006703B1">
        <w:rPr>
          <w:sz w:val="26"/>
          <w:szCs w:val="26"/>
        </w:rPr>
        <w:tab/>
        <w:t>The plan shall include specific proposals to implement energy efficiency and conservation measures to achieve or exceed the required reductions in consumption.</w:t>
      </w:r>
    </w:p>
    <w:p w:rsidR="00CF23E2" w:rsidRPr="006703B1" w:rsidRDefault="00CF23E2" w:rsidP="00CF23E2">
      <w:pPr>
        <w:ind w:left="2160" w:hanging="720"/>
        <w:rPr>
          <w:sz w:val="26"/>
          <w:szCs w:val="26"/>
        </w:rPr>
      </w:pPr>
    </w:p>
    <w:p w:rsidR="00CF23E2" w:rsidRPr="006703B1" w:rsidRDefault="00CF23E2" w:rsidP="00CF23E2">
      <w:pPr>
        <w:ind w:left="2160" w:hanging="720"/>
        <w:rPr>
          <w:sz w:val="26"/>
          <w:szCs w:val="26"/>
        </w:rPr>
      </w:pPr>
      <w:r w:rsidRPr="006703B1">
        <w:rPr>
          <w:sz w:val="26"/>
          <w:szCs w:val="26"/>
        </w:rPr>
        <w:t>(2)</w:t>
      </w:r>
      <w:r w:rsidRPr="006703B1">
        <w:rPr>
          <w:sz w:val="26"/>
          <w:szCs w:val="26"/>
        </w:rPr>
        <w:tab/>
        <w:t>A minimum of ten percent of the required reductions in consumption shall be obtained from units of federal, state and local government, including municipalities, school districts, i</w:t>
      </w:r>
      <w:r w:rsidR="00DC6D31">
        <w:rPr>
          <w:sz w:val="26"/>
          <w:szCs w:val="26"/>
        </w:rPr>
        <w:t>nstitutions of higher education</w:t>
      </w:r>
      <w:r w:rsidRPr="006703B1">
        <w:rPr>
          <w:sz w:val="26"/>
          <w:szCs w:val="26"/>
        </w:rPr>
        <w:t xml:space="preserve"> and nonprofit entities.</w:t>
      </w:r>
    </w:p>
    <w:p w:rsidR="00CF23E2" w:rsidRPr="006703B1" w:rsidRDefault="00CF23E2" w:rsidP="00CF23E2">
      <w:pPr>
        <w:ind w:left="2160" w:hanging="720"/>
        <w:rPr>
          <w:sz w:val="26"/>
          <w:szCs w:val="26"/>
        </w:rPr>
      </w:pPr>
    </w:p>
    <w:p w:rsidR="00CF23E2" w:rsidRPr="006703B1" w:rsidRDefault="00CF23E2" w:rsidP="00CF23E2">
      <w:pPr>
        <w:ind w:left="2160" w:hanging="720"/>
        <w:rPr>
          <w:sz w:val="26"/>
          <w:szCs w:val="26"/>
        </w:rPr>
      </w:pPr>
      <w:r w:rsidRPr="006703B1">
        <w:rPr>
          <w:sz w:val="26"/>
          <w:szCs w:val="26"/>
        </w:rPr>
        <w:t>(3)</w:t>
      </w:r>
      <w:r w:rsidRPr="006703B1">
        <w:rPr>
          <w:sz w:val="26"/>
          <w:szCs w:val="26"/>
        </w:rPr>
        <w:tab/>
        <w:t>The plan shall explain how quality assurance (QA) and performance will be measured, verified and evaluated.</w:t>
      </w:r>
    </w:p>
    <w:p w:rsidR="00CF23E2" w:rsidRPr="006703B1" w:rsidRDefault="00CF23E2" w:rsidP="00CF23E2">
      <w:pPr>
        <w:ind w:left="2160" w:hanging="720"/>
        <w:rPr>
          <w:sz w:val="26"/>
          <w:szCs w:val="26"/>
        </w:rPr>
      </w:pPr>
    </w:p>
    <w:p w:rsidR="00CF23E2" w:rsidRPr="006703B1" w:rsidRDefault="00CF23E2" w:rsidP="00CF23E2">
      <w:pPr>
        <w:ind w:left="2160" w:hanging="720"/>
        <w:rPr>
          <w:sz w:val="26"/>
          <w:szCs w:val="26"/>
        </w:rPr>
      </w:pPr>
      <w:r w:rsidRPr="006703B1">
        <w:rPr>
          <w:sz w:val="26"/>
          <w:szCs w:val="26"/>
        </w:rPr>
        <w:t>(4)</w:t>
      </w:r>
      <w:r w:rsidRPr="006703B1">
        <w:rPr>
          <w:sz w:val="26"/>
          <w:szCs w:val="26"/>
        </w:rPr>
        <w:tab/>
        <w:t>The plan shall state the manner in which the plan will achieve the requirements of the program and will achieve or exceed the required reductions in consumption.</w:t>
      </w:r>
    </w:p>
    <w:p w:rsidR="00CF23E2" w:rsidRPr="006703B1" w:rsidRDefault="00CF23E2" w:rsidP="00CF23E2">
      <w:pPr>
        <w:ind w:left="2160" w:hanging="720"/>
        <w:rPr>
          <w:sz w:val="26"/>
          <w:szCs w:val="26"/>
        </w:rPr>
      </w:pPr>
    </w:p>
    <w:p w:rsidR="00CF23E2" w:rsidRPr="006703B1" w:rsidRDefault="00CF23E2" w:rsidP="00CF23E2">
      <w:pPr>
        <w:ind w:left="2160" w:hanging="720"/>
        <w:rPr>
          <w:sz w:val="26"/>
          <w:szCs w:val="26"/>
        </w:rPr>
      </w:pPr>
      <w:r w:rsidRPr="006703B1">
        <w:rPr>
          <w:sz w:val="26"/>
          <w:szCs w:val="26"/>
        </w:rPr>
        <w:lastRenderedPageBreak/>
        <w:t>(5)</w:t>
      </w:r>
      <w:r w:rsidRPr="006703B1">
        <w:rPr>
          <w:sz w:val="26"/>
          <w:szCs w:val="26"/>
        </w:rPr>
        <w:tab/>
        <w:t>The plan shall include a contract with one or more conservation service providers selected by competitive bid to implement the plan or a portion of the plan.</w:t>
      </w:r>
    </w:p>
    <w:p w:rsidR="00CF23E2" w:rsidRPr="006703B1" w:rsidRDefault="00CF23E2" w:rsidP="00CF23E2">
      <w:pPr>
        <w:ind w:left="2160" w:hanging="720"/>
        <w:rPr>
          <w:sz w:val="26"/>
          <w:szCs w:val="26"/>
        </w:rPr>
      </w:pPr>
    </w:p>
    <w:p w:rsidR="00CF23E2" w:rsidRPr="006703B1" w:rsidRDefault="00CF23E2" w:rsidP="00CF23E2">
      <w:pPr>
        <w:ind w:left="2160" w:hanging="720"/>
        <w:rPr>
          <w:sz w:val="26"/>
          <w:szCs w:val="26"/>
        </w:rPr>
      </w:pPr>
      <w:r w:rsidRPr="006703B1">
        <w:rPr>
          <w:sz w:val="26"/>
          <w:szCs w:val="26"/>
        </w:rPr>
        <w:t>(6)</w:t>
      </w:r>
      <w:r w:rsidRPr="006703B1">
        <w:rPr>
          <w:sz w:val="26"/>
          <w:szCs w:val="26"/>
        </w:rPr>
        <w:tab/>
        <w:t>The plan shall include estimates of the cost of implementation of the energy efficiency and conservation measures in the plans.</w:t>
      </w:r>
    </w:p>
    <w:p w:rsidR="00CF23E2" w:rsidRPr="006703B1" w:rsidRDefault="00CF23E2" w:rsidP="00CF23E2">
      <w:pPr>
        <w:ind w:left="2160" w:hanging="720"/>
        <w:rPr>
          <w:sz w:val="26"/>
          <w:szCs w:val="26"/>
        </w:rPr>
      </w:pPr>
    </w:p>
    <w:p w:rsidR="00CF23E2" w:rsidRPr="006703B1" w:rsidRDefault="00CF23E2" w:rsidP="00CF23E2">
      <w:pPr>
        <w:ind w:left="2160" w:hanging="720"/>
        <w:rPr>
          <w:sz w:val="26"/>
          <w:szCs w:val="26"/>
        </w:rPr>
      </w:pPr>
      <w:r w:rsidRPr="006703B1">
        <w:rPr>
          <w:sz w:val="26"/>
          <w:szCs w:val="26"/>
        </w:rPr>
        <w:t xml:space="preserve">(7)  </w:t>
      </w:r>
      <w:r w:rsidRPr="006703B1">
        <w:rPr>
          <w:sz w:val="26"/>
          <w:szCs w:val="26"/>
        </w:rPr>
        <w:tab/>
        <w:t>The plan shall include specific energy efficiency measures for households at or below 150 percent of the federal poverty income guidelines.  The number of measures shall be proportionate to those households’ share of the total energy usage in the service territory.  The EDC shall coordinate these measures with other programs administered by the Commission or another federal or state agency. The expenditures of an EDC under this clause shall be in addition to those made under the Commission’s Regulations at 52 Pa. Code Chapter 58.</w:t>
      </w:r>
    </w:p>
    <w:p w:rsidR="00CF23E2" w:rsidRPr="006703B1" w:rsidRDefault="00CF23E2" w:rsidP="00CF23E2">
      <w:pPr>
        <w:ind w:left="2160" w:hanging="720"/>
        <w:rPr>
          <w:sz w:val="26"/>
          <w:szCs w:val="26"/>
        </w:rPr>
      </w:pPr>
    </w:p>
    <w:p w:rsidR="00CF23E2" w:rsidRDefault="00CF23E2" w:rsidP="00CF23E2">
      <w:pPr>
        <w:ind w:left="2160" w:hanging="720"/>
        <w:rPr>
          <w:sz w:val="26"/>
          <w:szCs w:val="26"/>
        </w:rPr>
      </w:pPr>
      <w:r w:rsidRPr="006703B1">
        <w:rPr>
          <w:sz w:val="26"/>
          <w:szCs w:val="26"/>
        </w:rPr>
        <w:t>(8)</w:t>
      </w:r>
      <w:r w:rsidRPr="006703B1">
        <w:rPr>
          <w:sz w:val="26"/>
          <w:szCs w:val="26"/>
        </w:rPr>
        <w:tab/>
        <w:t>The plan shall include a proposed cost-recovery mechanism to fund the EE&amp;C measures and to ensure full and current recovery of the prudent and reasonable costs of the plan, including administrative costs.</w:t>
      </w:r>
      <w:r w:rsidR="00AB472B" w:rsidRPr="006703B1">
        <w:rPr>
          <w:sz w:val="26"/>
          <w:szCs w:val="26"/>
        </w:rPr>
        <w:t xml:space="preserve">  </w:t>
      </w:r>
    </w:p>
    <w:p w:rsidR="00DC6D31" w:rsidRPr="006703B1" w:rsidRDefault="00DC6D31" w:rsidP="00CF23E2">
      <w:pPr>
        <w:ind w:left="2160" w:hanging="720"/>
        <w:rPr>
          <w:sz w:val="26"/>
          <w:szCs w:val="26"/>
        </w:rPr>
      </w:pPr>
    </w:p>
    <w:p w:rsidR="00CF23E2" w:rsidRPr="006703B1" w:rsidRDefault="00CF23E2" w:rsidP="00CF23E2">
      <w:pPr>
        <w:ind w:left="2160" w:hanging="720"/>
        <w:rPr>
          <w:sz w:val="26"/>
          <w:szCs w:val="26"/>
        </w:rPr>
      </w:pPr>
      <w:r w:rsidRPr="006703B1">
        <w:rPr>
          <w:sz w:val="26"/>
          <w:szCs w:val="26"/>
        </w:rPr>
        <w:t>(9)</w:t>
      </w:r>
      <w:r w:rsidRPr="006703B1">
        <w:rPr>
          <w:sz w:val="26"/>
          <w:szCs w:val="26"/>
        </w:rPr>
        <w:tab/>
        <w:t>The EDC shall demonstrate that the plan is cost-effective, using a TRC Test approved by the Commission, and provides a diverse cross section of alternatives for customers of all rate classes.</w:t>
      </w:r>
    </w:p>
    <w:p w:rsidR="00CF23E2" w:rsidRPr="006703B1" w:rsidRDefault="00CF23E2" w:rsidP="00CF23E2">
      <w:pPr>
        <w:ind w:left="2160" w:hanging="720"/>
        <w:rPr>
          <w:sz w:val="26"/>
          <w:szCs w:val="26"/>
        </w:rPr>
      </w:pPr>
    </w:p>
    <w:p w:rsidR="00CF23E2" w:rsidRPr="006703B1" w:rsidRDefault="00CF23E2" w:rsidP="00CF23E2">
      <w:pPr>
        <w:ind w:left="2160" w:hanging="720"/>
        <w:rPr>
          <w:sz w:val="26"/>
          <w:szCs w:val="26"/>
        </w:rPr>
      </w:pPr>
      <w:r w:rsidRPr="006703B1">
        <w:rPr>
          <w:sz w:val="26"/>
          <w:szCs w:val="26"/>
        </w:rPr>
        <w:t>(10)</w:t>
      </w:r>
      <w:r w:rsidRPr="006703B1">
        <w:rPr>
          <w:sz w:val="26"/>
          <w:szCs w:val="26"/>
        </w:rPr>
        <w:tab/>
        <w:t>The plan shall require an annual independent evaluation of its cost-effectiveness and a full review of the results of each five-year plan and, to the extent practical, how the plan will be adjusted on a going-forward basis as a result of the evaluation.</w:t>
      </w:r>
    </w:p>
    <w:p w:rsidR="00CF23E2" w:rsidRPr="006703B1" w:rsidRDefault="00CF23E2" w:rsidP="00CF23E2">
      <w:pPr>
        <w:ind w:left="2160" w:hanging="720"/>
        <w:rPr>
          <w:sz w:val="26"/>
          <w:szCs w:val="26"/>
        </w:rPr>
      </w:pPr>
    </w:p>
    <w:p w:rsidR="00CF23E2" w:rsidRPr="006703B1" w:rsidRDefault="00CF23E2" w:rsidP="00CF23E2">
      <w:pPr>
        <w:ind w:left="2160" w:hanging="720"/>
        <w:rPr>
          <w:sz w:val="26"/>
          <w:szCs w:val="26"/>
        </w:rPr>
      </w:pPr>
      <w:r w:rsidRPr="006703B1">
        <w:rPr>
          <w:sz w:val="26"/>
          <w:szCs w:val="26"/>
        </w:rPr>
        <w:t>(11)</w:t>
      </w:r>
      <w:r w:rsidRPr="006703B1">
        <w:rPr>
          <w:sz w:val="26"/>
          <w:szCs w:val="26"/>
        </w:rPr>
        <w:tab/>
        <w:t>The plan shall include an analysis of the EDC’s administrative costs.</w:t>
      </w:r>
    </w:p>
    <w:p w:rsidR="00CF23E2" w:rsidRPr="006703B1" w:rsidRDefault="00CF23E2" w:rsidP="00CF23E2">
      <w:pPr>
        <w:ind w:left="2160" w:hanging="720"/>
        <w:rPr>
          <w:sz w:val="26"/>
          <w:szCs w:val="26"/>
        </w:rPr>
      </w:pPr>
    </w:p>
    <w:p w:rsidR="00CF23E2" w:rsidRPr="006703B1" w:rsidRDefault="00CF23E2" w:rsidP="00CF23E2">
      <w:pPr>
        <w:ind w:left="2160" w:hanging="720"/>
        <w:rPr>
          <w:sz w:val="26"/>
          <w:szCs w:val="26"/>
        </w:rPr>
      </w:pPr>
    </w:p>
    <w:p w:rsidR="00A668C3" w:rsidRPr="006703B1" w:rsidRDefault="00CF23E2" w:rsidP="00CF23E2">
      <w:pPr>
        <w:spacing w:line="360" w:lineRule="auto"/>
        <w:rPr>
          <w:sz w:val="26"/>
          <w:szCs w:val="26"/>
        </w:rPr>
      </w:pPr>
      <w:r w:rsidRPr="006703B1">
        <w:rPr>
          <w:sz w:val="26"/>
          <w:szCs w:val="26"/>
        </w:rPr>
        <w:t>66 Pa. C.S. § 2806.1(b)(1)(i)(A)-(K).</w:t>
      </w:r>
    </w:p>
    <w:p w:rsidR="00285257" w:rsidRPr="006703B1" w:rsidRDefault="00285257" w:rsidP="00CF23E2">
      <w:pPr>
        <w:spacing w:line="360" w:lineRule="auto"/>
        <w:rPr>
          <w:sz w:val="26"/>
          <w:szCs w:val="26"/>
        </w:rPr>
      </w:pPr>
    </w:p>
    <w:p w:rsidR="00AB472B" w:rsidRPr="006703B1" w:rsidRDefault="00AB472B" w:rsidP="00AB472B">
      <w:pPr>
        <w:spacing w:line="360" w:lineRule="auto"/>
        <w:ind w:firstLine="1440"/>
        <w:rPr>
          <w:sz w:val="26"/>
          <w:szCs w:val="26"/>
        </w:rPr>
      </w:pPr>
      <w:r w:rsidRPr="006703B1">
        <w:rPr>
          <w:sz w:val="26"/>
          <w:szCs w:val="26"/>
        </w:rPr>
        <w:t xml:space="preserve">The Act permits an EDC to recover, on a full and current basis from customers, all reasonable and prudent costs incurred in the provision or management of an EE&amp;C plan.  The costs, however, are limited to </w:t>
      </w:r>
      <w:r w:rsidR="005C42A9">
        <w:rPr>
          <w:sz w:val="26"/>
          <w:szCs w:val="26"/>
        </w:rPr>
        <w:t>2%</w:t>
      </w:r>
      <w:r w:rsidRPr="006703B1">
        <w:rPr>
          <w:sz w:val="26"/>
          <w:szCs w:val="26"/>
        </w:rPr>
        <w:t xml:space="preserve"> of the EDC’s total annual revenue as of December 11, 2006.  66 Pa. C.S. § 2806.1(</w:t>
      </w:r>
      <w:r w:rsidR="00DF33BB" w:rsidRPr="006703B1">
        <w:rPr>
          <w:sz w:val="26"/>
          <w:szCs w:val="26"/>
        </w:rPr>
        <w:t>g) and (k).</w:t>
      </w:r>
      <w:r w:rsidR="0038403D" w:rsidRPr="006703B1">
        <w:rPr>
          <w:sz w:val="26"/>
          <w:szCs w:val="26"/>
        </w:rPr>
        <w:t xml:space="preserve">  The Act also provides that </w:t>
      </w:r>
      <w:r w:rsidR="0038403D" w:rsidRPr="006703B1">
        <w:rPr>
          <w:sz w:val="26"/>
          <w:szCs w:val="26"/>
        </w:rPr>
        <w:lastRenderedPageBreak/>
        <w:t>the Commission is to recover its costs of implementing the EE&amp;C Program</w:t>
      </w:r>
      <w:r w:rsidR="00951E43">
        <w:rPr>
          <w:sz w:val="26"/>
          <w:szCs w:val="26"/>
        </w:rPr>
        <w:t xml:space="preserve"> </w:t>
      </w:r>
      <w:r w:rsidR="00951E43" w:rsidRPr="006703B1">
        <w:rPr>
          <w:sz w:val="26"/>
          <w:szCs w:val="26"/>
        </w:rPr>
        <w:t>from EDCs</w:t>
      </w:r>
      <w:r w:rsidR="0038403D" w:rsidRPr="006703B1">
        <w:rPr>
          <w:sz w:val="26"/>
          <w:szCs w:val="26"/>
        </w:rPr>
        <w:t>.  66 Pa. C.S. § 2806.1(h).</w:t>
      </w:r>
    </w:p>
    <w:p w:rsidR="00AB472B" w:rsidRDefault="00AB472B" w:rsidP="00CF23E2">
      <w:pPr>
        <w:spacing w:line="360" w:lineRule="auto"/>
      </w:pPr>
    </w:p>
    <w:p w:rsidR="00486BC7" w:rsidRDefault="00486BC7" w:rsidP="00486BC7">
      <w:pPr>
        <w:pStyle w:val="Heading2"/>
      </w:pPr>
      <w:bookmarkStart w:id="14" w:name="_Toc242516220"/>
      <w:bookmarkStart w:id="15" w:name="_Toc244499276"/>
      <w:r>
        <w:t>B.</w:t>
      </w:r>
      <w:r>
        <w:tab/>
      </w:r>
      <w:r w:rsidR="002D40FF">
        <w:t>The Plans</w:t>
      </w:r>
      <w:bookmarkEnd w:id="14"/>
      <w:bookmarkEnd w:id="15"/>
    </w:p>
    <w:p w:rsidR="00486BC7" w:rsidRDefault="00486BC7" w:rsidP="00A668C3">
      <w:pPr>
        <w:spacing w:line="360" w:lineRule="auto"/>
        <w:ind w:firstLine="1440"/>
      </w:pPr>
    </w:p>
    <w:p w:rsidR="002D40FF" w:rsidRDefault="00CC2D84" w:rsidP="00A668C3">
      <w:pPr>
        <w:spacing w:line="360" w:lineRule="auto"/>
        <w:ind w:firstLine="1440"/>
        <w:rPr>
          <w:sz w:val="26"/>
          <w:szCs w:val="26"/>
        </w:rPr>
      </w:pPr>
      <w:r w:rsidRPr="00951E43">
        <w:rPr>
          <w:sz w:val="26"/>
          <w:szCs w:val="26"/>
        </w:rPr>
        <w:t xml:space="preserve">FirstEnergy states that it has coordinated its EE&amp;C development efforts across its three Pennsylvania operating companies to achieve cost efficiencies and </w:t>
      </w:r>
      <w:r w:rsidR="00E932ED">
        <w:rPr>
          <w:sz w:val="26"/>
          <w:szCs w:val="26"/>
        </w:rPr>
        <w:t xml:space="preserve">to </w:t>
      </w:r>
      <w:r w:rsidRPr="00951E43">
        <w:rPr>
          <w:sz w:val="26"/>
          <w:szCs w:val="26"/>
        </w:rPr>
        <w:t xml:space="preserve">offer a consistent set of programs to customers served by the three companies.  </w:t>
      </w:r>
      <w:r w:rsidR="00E45A7F" w:rsidRPr="00951E43">
        <w:rPr>
          <w:sz w:val="26"/>
          <w:szCs w:val="26"/>
        </w:rPr>
        <w:t xml:space="preserve">Met Ed’s </w:t>
      </w:r>
      <w:r w:rsidR="00547659">
        <w:rPr>
          <w:sz w:val="26"/>
          <w:szCs w:val="26"/>
        </w:rPr>
        <w:t>July 1, 2009 Plan</w:t>
      </w:r>
      <w:r w:rsidR="00E45A7F" w:rsidRPr="00951E43">
        <w:rPr>
          <w:sz w:val="26"/>
          <w:szCs w:val="26"/>
        </w:rPr>
        <w:t xml:space="preserve"> at 1.  </w:t>
      </w:r>
      <w:r w:rsidRPr="00951E43">
        <w:rPr>
          <w:sz w:val="26"/>
          <w:szCs w:val="26"/>
        </w:rPr>
        <w:t xml:space="preserve">As a result, </w:t>
      </w:r>
      <w:r w:rsidR="00E45A7F" w:rsidRPr="00951E43">
        <w:rPr>
          <w:sz w:val="26"/>
          <w:szCs w:val="26"/>
        </w:rPr>
        <w:t>FirstEnergy’s</w:t>
      </w:r>
      <w:r w:rsidRPr="00951E43">
        <w:rPr>
          <w:sz w:val="26"/>
          <w:szCs w:val="26"/>
        </w:rPr>
        <w:t xml:space="preserve"> three Plans are similar, but not identical.</w:t>
      </w:r>
      <w:r w:rsidR="00773A6E">
        <w:rPr>
          <w:sz w:val="26"/>
          <w:szCs w:val="26"/>
        </w:rPr>
        <w:t xml:space="preserve">  To the extent that the Plans are similar, this </w:t>
      </w:r>
      <w:r w:rsidR="003A5D24">
        <w:rPr>
          <w:sz w:val="26"/>
          <w:szCs w:val="26"/>
        </w:rPr>
        <w:t>Opinion and Order</w:t>
      </w:r>
      <w:r w:rsidR="00773A6E">
        <w:rPr>
          <w:sz w:val="26"/>
          <w:szCs w:val="26"/>
        </w:rPr>
        <w:t xml:space="preserve"> will consider them together and refer to them as the Plans.  To the extent that the Plans are different, </w:t>
      </w:r>
      <w:r w:rsidR="0030745F">
        <w:rPr>
          <w:sz w:val="26"/>
          <w:szCs w:val="26"/>
        </w:rPr>
        <w:t xml:space="preserve">this </w:t>
      </w:r>
      <w:r w:rsidR="003A5D24">
        <w:rPr>
          <w:sz w:val="26"/>
          <w:szCs w:val="26"/>
        </w:rPr>
        <w:t>Opinion and Order</w:t>
      </w:r>
      <w:r w:rsidR="00E932ED">
        <w:rPr>
          <w:sz w:val="26"/>
          <w:szCs w:val="26"/>
        </w:rPr>
        <w:t xml:space="preserve"> </w:t>
      </w:r>
      <w:r w:rsidR="0030745F">
        <w:rPr>
          <w:sz w:val="26"/>
          <w:szCs w:val="26"/>
        </w:rPr>
        <w:t xml:space="preserve">will consider them separately and refer to </w:t>
      </w:r>
      <w:r w:rsidR="009C499C">
        <w:rPr>
          <w:sz w:val="26"/>
          <w:szCs w:val="26"/>
        </w:rPr>
        <w:t>a</w:t>
      </w:r>
      <w:r w:rsidR="0030745F">
        <w:rPr>
          <w:sz w:val="26"/>
          <w:szCs w:val="26"/>
        </w:rPr>
        <w:t xml:space="preserve"> specific </w:t>
      </w:r>
      <w:r w:rsidR="009C499C">
        <w:rPr>
          <w:sz w:val="26"/>
          <w:szCs w:val="26"/>
        </w:rPr>
        <w:t>company’s p</w:t>
      </w:r>
      <w:r w:rsidR="0030745F">
        <w:rPr>
          <w:sz w:val="26"/>
          <w:szCs w:val="26"/>
        </w:rPr>
        <w:t>lan.</w:t>
      </w:r>
    </w:p>
    <w:p w:rsidR="00CA3AE8" w:rsidRDefault="00CA3AE8" w:rsidP="00A668C3">
      <w:pPr>
        <w:spacing w:line="360" w:lineRule="auto"/>
        <w:ind w:firstLine="1440"/>
        <w:rPr>
          <w:sz w:val="26"/>
          <w:szCs w:val="26"/>
        </w:rPr>
      </w:pPr>
    </w:p>
    <w:p w:rsidR="00CA3AE8" w:rsidRPr="00951E43" w:rsidRDefault="003E6448" w:rsidP="00A668C3">
      <w:pPr>
        <w:spacing w:line="360" w:lineRule="auto"/>
        <w:ind w:firstLine="1440"/>
        <w:rPr>
          <w:sz w:val="26"/>
          <w:szCs w:val="26"/>
        </w:rPr>
      </w:pPr>
      <w:r>
        <w:rPr>
          <w:sz w:val="26"/>
          <w:szCs w:val="26"/>
        </w:rPr>
        <w:t xml:space="preserve">As stated previously, FirstEnergy has revised the Plans several times.  </w:t>
      </w:r>
      <w:r w:rsidR="00D657AC">
        <w:rPr>
          <w:sz w:val="26"/>
          <w:szCs w:val="26"/>
        </w:rPr>
        <w:t xml:space="preserve">Although </w:t>
      </w:r>
      <w:r>
        <w:rPr>
          <w:sz w:val="26"/>
          <w:szCs w:val="26"/>
        </w:rPr>
        <w:t xml:space="preserve">FirstEnergy </w:t>
      </w:r>
      <w:r w:rsidR="004B211C">
        <w:rPr>
          <w:sz w:val="26"/>
          <w:szCs w:val="26"/>
        </w:rPr>
        <w:t xml:space="preserve">believes </w:t>
      </w:r>
      <w:r>
        <w:rPr>
          <w:sz w:val="26"/>
          <w:szCs w:val="26"/>
        </w:rPr>
        <w:t xml:space="preserve">the Plans </w:t>
      </w:r>
      <w:r w:rsidR="00547659">
        <w:rPr>
          <w:sz w:val="26"/>
          <w:szCs w:val="26"/>
        </w:rPr>
        <w:t>filed July 1, 2009</w:t>
      </w:r>
      <w:r w:rsidR="00E932ED">
        <w:rPr>
          <w:sz w:val="26"/>
          <w:szCs w:val="26"/>
        </w:rPr>
        <w:t>,</w:t>
      </w:r>
      <w:r w:rsidR="00547659">
        <w:rPr>
          <w:sz w:val="26"/>
          <w:szCs w:val="26"/>
        </w:rPr>
        <w:t xml:space="preserve"> </w:t>
      </w:r>
      <w:r>
        <w:rPr>
          <w:sz w:val="26"/>
          <w:szCs w:val="26"/>
        </w:rPr>
        <w:t>complied with the r</w:t>
      </w:r>
      <w:r w:rsidR="00591F16">
        <w:rPr>
          <w:sz w:val="26"/>
          <w:szCs w:val="26"/>
        </w:rPr>
        <w:t xml:space="preserve">equirements of Act 129, </w:t>
      </w:r>
      <w:r w:rsidR="004B211C">
        <w:rPr>
          <w:sz w:val="26"/>
          <w:szCs w:val="26"/>
        </w:rPr>
        <w:t xml:space="preserve">it made </w:t>
      </w:r>
      <w:r w:rsidR="00591F16">
        <w:rPr>
          <w:sz w:val="26"/>
          <w:szCs w:val="26"/>
        </w:rPr>
        <w:t xml:space="preserve">changes to reflect the </w:t>
      </w:r>
      <w:r w:rsidR="00CE335D">
        <w:rPr>
          <w:i/>
          <w:sz w:val="26"/>
          <w:szCs w:val="26"/>
        </w:rPr>
        <w:t>TRC Test Order</w:t>
      </w:r>
      <w:r w:rsidR="00D657AC">
        <w:rPr>
          <w:sz w:val="26"/>
          <w:szCs w:val="26"/>
        </w:rPr>
        <w:t xml:space="preserve"> </w:t>
      </w:r>
      <w:r w:rsidR="00591F16">
        <w:rPr>
          <w:sz w:val="26"/>
          <w:szCs w:val="26"/>
        </w:rPr>
        <w:t xml:space="preserve">as well as suggestions offered by the other </w:t>
      </w:r>
      <w:r w:rsidR="000212DB">
        <w:rPr>
          <w:sz w:val="26"/>
          <w:szCs w:val="26"/>
        </w:rPr>
        <w:t>Parties</w:t>
      </w:r>
      <w:r w:rsidR="00591F16">
        <w:rPr>
          <w:sz w:val="26"/>
          <w:szCs w:val="26"/>
        </w:rPr>
        <w:t xml:space="preserve"> to the instant litigation.  </w:t>
      </w:r>
      <w:r w:rsidR="00547659">
        <w:rPr>
          <w:sz w:val="26"/>
          <w:szCs w:val="26"/>
        </w:rPr>
        <w:t>FirstEnergy’s cover letter to</w:t>
      </w:r>
      <w:r w:rsidR="00362C2D">
        <w:rPr>
          <w:sz w:val="26"/>
          <w:szCs w:val="26"/>
        </w:rPr>
        <w:t xml:space="preserve"> July 31, 2009 Plans; FirstEnergy MB</w:t>
      </w:r>
      <w:r w:rsidR="00D657AC">
        <w:rPr>
          <w:sz w:val="26"/>
          <w:szCs w:val="26"/>
        </w:rPr>
        <w:t xml:space="preserve"> at 2. </w:t>
      </w:r>
    </w:p>
    <w:p w:rsidR="00E45A7F" w:rsidRPr="00951E43" w:rsidRDefault="00E45A7F" w:rsidP="00A668C3">
      <w:pPr>
        <w:spacing w:line="360" w:lineRule="auto"/>
        <w:ind w:firstLine="1440"/>
        <w:rPr>
          <w:sz w:val="26"/>
          <w:szCs w:val="26"/>
        </w:rPr>
      </w:pPr>
    </w:p>
    <w:p w:rsidR="00E45A7F" w:rsidRDefault="004E3268" w:rsidP="00A668C3">
      <w:pPr>
        <w:spacing w:line="360" w:lineRule="auto"/>
        <w:ind w:firstLine="1440"/>
        <w:rPr>
          <w:sz w:val="26"/>
          <w:szCs w:val="26"/>
        </w:rPr>
      </w:pPr>
      <w:r>
        <w:rPr>
          <w:sz w:val="26"/>
          <w:szCs w:val="26"/>
        </w:rPr>
        <w:t>As amended, t</w:t>
      </w:r>
      <w:r w:rsidR="0030745F">
        <w:rPr>
          <w:sz w:val="26"/>
          <w:szCs w:val="26"/>
        </w:rPr>
        <w:t>he FirstEnergy P</w:t>
      </w:r>
      <w:r w:rsidR="00E45A7F" w:rsidRPr="00951E43">
        <w:rPr>
          <w:sz w:val="26"/>
          <w:szCs w:val="26"/>
        </w:rPr>
        <w:t>lan</w:t>
      </w:r>
      <w:r w:rsidR="0030745F">
        <w:rPr>
          <w:sz w:val="26"/>
          <w:szCs w:val="26"/>
        </w:rPr>
        <w:t>s</w:t>
      </w:r>
      <w:r w:rsidR="00E45A7F" w:rsidRPr="00951E43">
        <w:rPr>
          <w:sz w:val="26"/>
          <w:szCs w:val="26"/>
        </w:rPr>
        <w:t xml:space="preserve"> offer a suite of programs for </w:t>
      </w:r>
      <w:r w:rsidR="00B40143">
        <w:rPr>
          <w:sz w:val="26"/>
          <w:szCs w:val="26"/>
        </w:rPr>
        <w:t xml:space="preserve">all </w:t>
      </w:r>
      <w:r w:rsidR="00E45A7F" w:rsidRPr="00951E43">
        <w:rPr>
          <w:sz w:val="26"/>
          <w:szCs w:val="26"/>
        </w:rPr>
        <w:t>residential</w:t>
      </w:r>
      <w:r w:rsidR="00201BF3">
        <w:rPr>
          <w:sz w:val="26"/>
          <w:szCs w:val="26"/>
        </w:rPr>
        <w:t xml:space="preserve"> </w:t>
      </w:r>
      <w:r w:rsidR="007A4272">
        <w:rPr>
          <w:sz w:val="26"/>
          <w:szCs w:val="26"/>
        </w:rPr>
        <w:t>customers</w:t>
      </w:r>
      <w:r w:rsidR="00E45A7F" w:rsidRPr="00951E43">
        <w:rPr>
          <w:sz w:val="26"/>
          <w:szCs w:val="26"/>
        </w:rPr>
        <w:t>,</w:t>
      </w:r>
      <w:r w:rsidR="00B40143">
        <w:rPr>
          <w:sz w:val="26"/>
          <w:szCs w:val="26"/>
        </w:rPr>
        <w:t xml:space="preserve"> low-income residential customers,</w:t>
      </w:r>
      <w:r w:rsidR="00E45A7F" w:rsidRPr="00951E43">
        <w:rPr>
          <w:sz w:val="26"/>
          <w:szCs w:val="26"/>
        </w:rPr>
        <w:t xml:space="preserve"> </w:t>
      </w:r>
      <w:r w:rsidR="008C2472" w:rsidRPr="00951E43">
        <w:rPr>
          <w:sz w:val="26"/>
          <w:szCs w:val="26"/>
        </w:rPr>
        <w:t>commercial and industrial</w:t>
      </w:r>
      <w:r w:rsidR="00201BF3">
        <w:rPr>
          <w:sz w:val="26"/>
          <w:szCs w:val="26"/>
        </w:rPr>
        <w:t xml:space="preserve"> </w:t>
      </w:r>
      <w:r w:rsidR="00E932ED">
        <w:rPr>
          <w:sz w:val="26"/>
          <w:szCs w:val="26"/>
        </w:rPr>
        <w:t xml:space="preserve">(C&amp;I) </w:t>
      </w:r>
      <w:r w:rsidR="00201BF3">
        <w:rPr>
          <w:sz w:val="26"/>
          <w:szCs w:val="26"/>
        </w:rPr>
        <w:t>customers</w:t>
      </w:r>
      <w:r w:rsidR="008C2472" w:rsidRPr="00951E43">
        <w:rPr>
          <w:sz w:val="26"/>
          <w:szCs w:val="26"/>
        </w:rPr>
        <w:t xml:space="preserve">, and government and institutional customers.  </w:t>
      </w:r>
      <w:r w:rsidR="000B4D2E">
        <w:rPr>
          <w:sz w:val="26"/>
          <w:szCs w:val="26"/>
        </w:rPr>
        <w:t xml:space="preserve">Programs for </w:t>
      </w:r>
      <w:r w:rsidR="008C2472" w:rsidRPr="00951E43">
        <w:rPr>
          <w:sz w:val="26"/>
          <w:szCs w:val="26"/>
        </w:rPr>
        <w:t>residential customers</w:t>
      </w:r>
      <w:r w:rsidR="000B4D2E">
        <w:rPr>
          <w:sz w:val="26"/>
          <w:szCs w:val="26"/>
        </w:rPr>
        <w:t xml:space="preserve"> include:  a </w:t>
      </w:r>
      <w:r w:rsidR="000750D0" w:rsidRPr="00951E43">
        <w:rPr>
          <w:sz w:val="26"/>
          <w:szCs w:val="26"/>
        </w:rPr>
        <w:t xml:space="preserve">home </w:t>
      </w:r>
      <w:r w:rsidR="000B4D2E">
        <w:rPr>
          <w:sz w:val="26"/>
          <w:szCs w:val="26"/>
        </w:rPr>
        <w:t>energy audit program</w:t>
      </w:r>
      <w:r w:rsidR="00E932ED">
        <w:rPr>
          <w:sz w:val="26"/>
          <w:szCs w:val="26"/>
        </w:rPr>
        <w:t>;</w:t>
      </w:r>
      <w:r w:rsidR="00E932ED" w:rsidRPr="00951E43">
        <w:rPr>
          <w:sz w:val="26"/>
          <w:szCs w:val="26"/>
        </w:rPr>
        <w:t xml:space="preserve"> </w:t>
      </w:r>
      <w:r w:rsidR="00201BF3">
        <w:rPr>
          <w:sz w:val="26"/>
          <w:szCs w:val="26"/>
        </w:rPr>
        <w:t>a residential appliance turn-in program</w:t>
      </w:r>
      <w:r w:rsidR="00E932ED">
        <w:rPr>
          <w:sz w:val="26"/>
          <w:szCs w:val="26"/>
        </w:rPr>
        <w:t xml:space="preserve">; </w:t>
      </w:r>
      <w:r w:rsidR="00201BF3">
        <w:rPr>
          <w:sz w:val="26"/>
          <w:szCs w:val="26"/>
        </w:rPr>
        <w:t xml:space="preserve">a residential </w:t>
      </w:r>
      <w:r w:rsidR="00FD03CF">
        <w:rPr>
          <w:sz w:val="26"/>
          <w:szCs w:val="26"/>
        </w:rPr>
        <w:t>heating, ventilating and air conditioning (</w:t>
      </w:r>
      <w:r w:rsidR="00201BF3">
        <w:rPr>
          <w:sz w:val="26"/>
          <w:szCs w:val="26"/>
        </w:rPr>
        <w:t>HVAC</w:t>
      </w:r>
      <w:r w:rsidR="00FD03CF">
        <w:rPr>
          <w:sz w:val="26"/>
          <w:szCs w:val="26"/>
        </w:rPr>
        <w:t>)</w:t>
      </w:r>
      <w:r w:rsidR="00201BF3">
        <w:rPr>
          <w:sz w:val="26"/>
          <w:szCs w:val="26"/>
        </w:rPr>
        <w:t xml:space="preserve"> program</w:t>
      </w:r>
      <w:r w:rsidR="00E932ED">
        <w:rPr>
          <w:sz w:val="26"/>
          <w:szCs w:val="26"/>
        </w:rPr>
        <w:t xml:space="preserve">; </w:t>
      </w:r>
      <w:r w:rsidR="00201BF3">
        <w:rPr>
          <w:sz w:val="26"/>
          <w:szCs w:val="26"/>
        </w:rPr>
        <w:t>a residential energy efficiency products program</w:t>
      </w:r>
      <w:r w:rsidR="00E932ED">
        <w:rPr>
          <w:sz w:val="26"/>
          <w:szCs w:val="26"/>
        </w:rPr>
        <w:t xml:space="preserve">; </w:t>
      </w:r>
      <w:r w:rsidR="000B4D2E">
        <w:rPr>
          <w:sz w:val="26"/>
          <w:szCs w:val="26"/>
        </w:rPr>
        <w:t xml:space="preserve">a residential </w:t>
      </w:r>
      <w:r w:rsidR="000750D0" w:rsidRPr="00951E43">
        <w:rPr>
          <w:sz w:val="26"/>
          <w:szCs w:val="26"/>
        </w:rPr>
        <w:t>new construction</w:t>
      </w:r>
      <w:r w:rsidR="000B4D2E">
        <w:rPr>
          <w:sz w:val="26"/>
          <w:szCs w:val="26"/>
        </w:rPr>
        <w:t xml:space="preserve"> program</w:t>
      </w:r>
      <w:r w:rsidR="00E932ED">
        <w:rPr>
          <w:sz w:val="26"/>
          <w:szCs w:val="26"/>
        </w:rPr>
        <w:t xml:space="preserve">; </w:t>
      </w:r>
      <w:r w:rsidR="000B4D2E">
        <w:rPr>
          <w:sz w:val="26"/>
          <w:szCs w:val="26"/>
        </w:rPr>
        <w:t>a residential whole building program</w:t>
      </w:r>
      <w:r w:rsidR="00E932ED">
        <w:rPr>
          <w:sz w:val="26"/>
          <w:szCs w:val="26"/>
        </w:rPr>
        <w:t xml:space="preserve">; </w:t>
      </w:r>
      <w:r w:rsidR="000B4D2E">
        <w:rPr>
          <w:sz w:val="26"/>
          <w:szCs w:val="26"/>
        </w:rPr>
        <w:t>a program for tenants in certain multi-family buildings</w:t>
      </w:r>
      <w:r w:rsidR="00E932ED">
        <w:rPr>
          <w:sz w:val="26"/>
          <w:szCs w:val="26"/>
        </w:rPr>
        <w:t xml:space="preserve">; </w:t>
      </w:r>
      <w:r w:rsidR="00932A39">
        <w:rPr>
          <w:sz w:val="26"/>
          <w:szCs w:val="26"/>
        </w:rPr>
        <w:t xml:space="preserve">and </w:t>
      </w:r>
      <w:r w:rsidR="000B4D2E">
        <w:rPr>
          <w:sz w:val="26"/>
          <w:szCs w:val="26"/>
        </w:rPr>
        <w:t xml:space="preserve">a residential direct load </w:t>
      </w:r>
      <w:r w:rsidR="00250370" w:rsidRPr="00951E43">
        <w:rPr>
          <w:sz w:val="26"/>
          <w:szCs w:val="26"/>
        </w:rPr>
        <w:t>control</w:t>
      </w:r>
      <w:r w:rsidR="000B4D2E">
        <w:rPr>
          <w:sz w:val="26"/>
          <w:szCs w:val="26"/>
        </w:rPr>
        <w:t xml:space="preserve"> program</w:t>
      </w:r>
      <w:r w:rsidR="00665246">
        <w:rPr>
          <w:sz w:val="26"/>
          <w:szCs w:val="26"/>
        </w:rPr>
        <w:t>.  P</w:t>
      </w:r>
      <w:r w:rsidR="000B4D2E">
        <w:rPr>
          <w:sz w:val="26"/>
          <w:szCs w:val="26"/>
        </w:rPr>
        <w:t xml:space="preserve">rograms specifically intended </w:t>
      </w:r>
      <w:r w:rsidR="000B4D2E">
        <w:rPr>
          <w:sz w:val="26"/>
          <w:szCs w:val="26"/>
        </w:rPr>
        <w:lastRenderedPageBreak/>
        <w:t>for low-incom</w:t>
      </w:r>
      <w:r w:rsidR="00665246">
        <w:rPr>
          <w:sz w:val="26"/>
          <w:szCs w:val="26"/>
        </w:rPr>
        <w:t>e</w:t>
      </w:r>
      <w:r w:rsidR="000B4D2E">
        <w:rPr>
          <w:sz w:val="26"/>
          <w:szCs w:val="26"/>
        </w:rPr>
        <w:t xml:space="preserve"> residential customers</w:t>
      </w:r>
      <w:r w:rsidR="00665246">
        <w:rPr>
          <w:sz w:val="26"/>
          <w:szCs w:val="26"/>
        </w:rPr>
        <w:t xml:space="preserve"> include additional WARM</w:t>
      </w:r>
      <w:r w:rsidR="00665246">
        <w:rPr>
          <w:rStyle w:val="FootnoteReference"/>
          <w:sz w:val="26"/>
          <w:szCs w:val="26"/>
        </w:rPr>
        <w:footnoteReference w:id="21"/>
      </w:r>
      <w:r w:rsidR="00665246">
        <w:rPr>
          <w:sz w:val="26"/>
          <w:szCs w:val="26"/>
        </w:rPr>
        <w:t xml:space="preserve"> program funding and targeted marketing</w:t>
      </w:r>
      <w:r w:rsidR="00DF064D" w:rsidRPr="00951E43">
        <w:rPr>
          <w:sz w:val="26"/>
          <w:szCs w:val="26"/>
        </w:rPr>
        <w:t>.</w:t>
      </w:r>
      <w:r w:rsidR="00250370" w:rsidRPr="00951E43">
        <w:rPr>
          <w:sz w:val="26"/>
          <w:szCs w:val="26"/>
        </w:rPr>
        <w:t xml:space="preserve">  </w:t>
      </w:r>
      <w:r w:rsidR="00544B9A">
        <w:rPr>
          <w:sz w:val="26"/>
          <w:szCs w:val="26"/>
        </w:rPr>
        <w:t xml:space="preserve">Programs for </w:t>
      </w:r>
      <w:r w:rsidR="00512D4E" w:rsidRPr="00951E43">
        <w:rPr>
          <w:sz w:val="26"/>
          <w:szCs w:val="26"/>
        </w:rPr>
        <w:t>commercial and industrial customers</w:t>
      </w:r>
      <w:r w:rsidR="00331F5D">
        <w:rPr>
          <w:sz w:val="26"/>
          <w:szCs w:val="26"/>
        </w:rPr>
        <w:t xml:space="preserve"> include: </w:t>
      </w:r>
      <w:r w:rsidR="00544B9A">
        <w:rPr>
          <w:sz w:val="26"/>
          <w:szCs w:val="26"/>
        </w:rPr>
        <w:t xml:space="preserve"> </w:t>
      </w:r>
      <w:r w:rsidR="00512D4E" w:rsidRPr="00951E43">
        <w:rPr>
          <w:sz w:val="26"/>
          <w:szCs w:val="26"/>
        </w:rPr>
        <w:t>an energy audit and technology assessment program</w:t>
      </w:r>
      <w:r w:rsidR="00E932ED">
        <w:rPr>
          <w:sz w:val="26"/>
          <w:szCs w:val="26"/>
        </w:rPr>
        <w:t>;</w:t>
      </w:r>
      <w:r w:rsidR="00E932ED" w:rsidRPr="00951E43">
        <w:rPr>
          <w:sz w:val="26"/>
          <w:szCs w:val="26"/>
        </w:rPr>
        <w:t xml:space="preserve"> </w:t>
      </w:r>
      <w:r w:rsidR="00512D4E" w:rsidRPr="00951E43">
        <w:rPr>
          <w:sz w:val="26"/>
          <w:szCs w:val="26"/>
        </w:rPr>
        <w:t>a</w:t>
      </w:r>
      <w:r w:rsidR="00FC6980">
        <w:rPr>
          <w:sz w:val="26"/>
          <w:szCs w:val="26"/>
        </w:rPr>
        <w:t xml:space="preserve">n </w:t>
      </w:r>
      <w:r w:rsidR="00512D4E" w:rsidRPr="00951E43">
        <w:rPr>
          <w:sz w:val="26"/>
          <w:szCs w:val="26"/>
        </w:rPr>
        <w:t>equipment program</w:t>
      </w:r>
      <w:r w:rsidR="00E932ED">
        <w:rPr>
          <w:sz w:val="26"/>
          <w:szCs w:val="26"/>
        </w:rPr>
        <w:t>;</w:t>
      </w:r>
      <w:r w:rsidR="00E932ED" w:rsidRPr="00951E43">
        <w:rPr>
          <w:sz w:val="26"/>
          <w:szCs w:val="26"/>
        </w:rPr>
        <w:t xml:space="preserve"> </w:t>
      </w:r>
      <w:r w:rsidR="00544B9A">
        <w:rPr>
          <w:sz w:val="26"/>
          <w:szCs w:val="26"/>
        </w:rPr>
        <w:t>an industrial motors and variable speed drives program</w:t>
      </w:r>
      <w:r w:rsidR="00E932ED">
        <w:rPr>
          <w:sz w:val="26"/>
          <w:szCs w:val="26"/>
        </w:rPr>
        <w:t>;</w:t>
      </w:r>
      <w:r w:rsidR="00544B9A">
        <w:rPr>
          <w:sz w:val="26"/>
          <w:szCs w:val="26"/>
        </w:rPr>
        <w:t xml:space="preserve"> a</w:t>
      </w:r>
      <w:r w:rsidR="00FC6980">
        <w:rPr>
          <w:sz w:val="26"/>
          <w:szCs w:val="26"/>
        </w:rPr>
        <w:t xml:space="preserve"> demand response program</w:t>
      </w:r>
      <w:r w:rsidR="00CE04DB">
        <w:rPr>
          <w:sz w:val="26"/>
          <w:szCs w:val="26"/>
        </w:rPr>
        <w:t xml:space="preserve">; </w:t>
      </w:r>
      <w:r w:rsidR="00512D4E" w:rsidRPr="00951E43">
        <w:rPr>
          <w:sz w:val="26"/>
          <w:szCs w:val="26"/>
        </w:rPr>
        <w:t xml:space="preserve">and a </w:t>
      </w:r>
      <w:r w:rsidR="00FC6980">
        <w:rPr>
          <w:sz w:val="26"/>
          <w:szCs w:val="26"/>
        </w:rPr>
        <w:t xml:space="preserve">performance contracting </w:t>
      </w:r>
      <w:r w:rsidR="00512D4E" w:rsidRPr="00951E43">
        <w:rPr>
          <w:sz w:val="26"/>
          <w:szCs w:val="26"/>
        </w:rPr>
        <w:t xml:space="preserve">program.  With regard to </w:t>
      </w:r>
      <w:r w:rsidR="00241951" w:rsidRPr="00951E43">
        <w:rPr>
          <w:sz w:val="26"/>
          <w:szCs w:val="26"/>
        </w:rPr>
        <w:t>governmental and institutional customers, programs include</w:t>
      </w:r>
      <w:r w:rsidR="00FC6980">
        <w:rPr>
          <w:sz w:val="26"/>
          <w:szCs w:val="26"/>
        </w:rPr>
        <w:t>: a federal facilities program</w:t>
      </w:r>
      <w:r w:rsidR="00CE04DB">
        <w:rPr>
          <w:sz w:val="26"/>
          <w:szCs w:val="26"/>
        </w:rPr>
        <w:t xml:space="preserve">; </w:t>
      </w:r>
      <w:r w:rsidR="00FC6980">
        <w:rPr>
          <w:sz w:val="26"/>
          <w:szCs w:val="26"/>
        </w:rPr>
        <w:t>a municipal street lighting program</w:t>
      </w:r>
      <w:r w:rsidR="00CE04DB">
        <w:rPr>
          <w:sz w:val="26"/>
          <w:szCs w:val="26"/>
        </w:rPr>
        <w:t xml:space="preserve">; </w:t>
      </w:r>
      <w:r w:rsidR="00FC6980">
        <w:rPr>
          <w:sz w:val="26"/>
          <w:szCs w:val="26"/>
        </w:rPr>
        <w:t>a municipal lighting program</w:t>
      </w:r>
      <w:r w:rsidR="00CE04DB">
        <w:rPr>
          <w:sz w:val="26"/>
          <w:szCs w:val="26"/>
        </w:rPr>
        <w:t xml:space="preserve">; </w:t>
      </w:r>
      <w:r w:rsidR="00FC6980">
        <w:rPr>
          <w:sz w:val="26"/>
          <w:szCs w:val="26"/>
        </w:rPr>
        <w:t xml:space="preserve">and local and county government </w:t>
      </w:r>
      <w:r w:rsidR="009C480B" w:rsidRPr="00951E43">
        <w:rPr>
          <w:sz w:val="26"/>
          <w:szCs w:val="26"/>
        </w:rPr>
        <w:t>energy audits</w:t>
      </w:r>
      <w:r w:rsidR="00FC6980">
        <w:rPr>
          <w:sz w:val="26"/>
          <w:szCs w:val="26"/>
        </w:rPr>
        <w:t>.</w:t>
      </w:r>
      <w:r w:rsidR="00CE0BC7">
        <w:rPr>
          <w:sz w:val="26"/>
          <w:szCs w:val="26"/>
        </w:rPr>
        <w:t xml:space="preserve">  FirstEnergy MB at 10-13.</w:t>
      </w:r>
    </w:p>
    <w:p w:rsidR="007A4272" w:rsidRDefault="007A4272" w:rsidP="00A668C3">
      <w:pPr>
        <w:spacing w:line="360" w:lineRule="auto"/>
        <w:ind w:firstLine="1440"/>
        <w:rPr>
          <w:sz w:val="26"/>
          <w:szCs w:val="26"/>
        </w:rPr>
      </w:pPr>
    </w:p>
    <w:p w:rsidR="007A4272" w:rsidRDefault="007A4272" w:rsidP="00A668C3">
      <w:pPr>
        <w:spacing w:line="360" w:lineRule="auto"/>
        <w:ind w:firstLine="1440"/>
        <w:rPr>
          <w:sz w:val="26"/>
          <w:szCs w:val="26"/>
        </w:rPr>
      </w:pPr>
      <w:r>
        <w:rPr>
          <w:sz w:val="26"/>
          <w:szCs w:val="26"/>
        </w:rPr>
        <w:t>FirstEnergy would implement these programs in three stages</w:t>
      </w:r>
      <w:r w:rsidR="00635326">
        <w:rPr>
          <w:sz w:val="26"/>
          <w:szCs w:val="26"/>
        </w:rPr>
        <w:t xml:space="preserve"> beginning shortly after the Commission approves the Plans</w:t>
      </w:r>
      <w:r>
        <w:rPr>
          <w:sz w:val="26"/>
          <w:szCs w:val="26"/>
        </w:rPr>
        <w:t xml:space="preserve">.  </w:t>
      </w:r>
      <w:r w:rsidR="00CE0BC7">
        <w:rPr>
          <w:sz w:val="26"/>
          <w:szCs w:val="26"/>
        </w:rPr>
        <w:t xml:space="preserve">First, the Companies will conduct an awareness and education campaign.  Second, the Companies will conduct an energy audit phase.  Finally, </w:t>
      </w:r>
      <w:r w:rsidR="00635326">
        <w:rPr>
          <w:sz w:val="26"/>
          <w:szCs w:val="26"/>
        </w:rPr>
        <w:t xml:space="preserve">the Company will implement a suite of programs and measures to </w:t>
      </w:r>
      <w:r w:rsidR="00C53FA6">
        <w:rPr>
          <w:sz w:val="26"/>
          <w:szCs w:val="26"/>
        </w:rPr>
        <w:t>achieve the reductions required by the Act</w:t>
      </w:r>
      <w:r w:rsidR="00635326">
        <w:rPr>
          <w:sz w:val="26"/>
          <w:szCs w:val="26"/>
        </w:rPr>
        <w:t>.</w:t>
      </w:r>
      <w:r w:rsidR="00934005">
        <w:rPr>
          <w:sz w:val="26"/>
          <w:szCs w:val="26"/>
        </w:rPr>
        <w:t xml:space="preserve">  FirstEnergy MB</w:t>
      </w:r>
      <w:r w:rsidR="00C53FA6">
        <w:rPr>
          <w:sz w:val="26"/>
          <w:szCs w:val="26"/>
        </w:rPr>
        <w:t xml:space="preserve"> at 9.</w:t>
      </w:r>
    </w:p>
    <w:p w:rsidR="00C53FA6" w:rsidRDefault="00C53FA6" w:rsidP="00A668C3">
      <w:pPr>
        <w:spacing w:line="360" w:lineRule="auto"/>
        <w:ind w:firstLine="1440"/>
        <w:rPr>
          <w:sz w:val="26"/>
          <w:szCs w:val="26"/>
        </w:rPr>
      </w:pPr>
    </w:p>
    <w:p w:rsidR="00C53FA6" w:rsidRPr="006C6CE7" w:rsidRDefault="0063161D" w:rsidP="00A668C3">
      <w:pPr>
        <w:spacing w:line="360" w:lineRule="auto"/>
        <w:ind w:firstLine="1440"/>
        <w:rPr>
          <w:sz w:val="26"/>
          <w:szCs w:val="26"/>
        </w:rPr>
      </w:pPr>
      <w:r>
        <w:rPr>
          <w:sz w:val="26"/>
          <w:szCs w:val="26"/>
        </w:rPr>
        <w:t xml:space="preserve">In terms of data reporting and tracking, a Request for Information </w:t>
      </w:r>
      <w:r w:rsidR="00A208EF">
        <w:rPr>
          <w:sz w:val="26"/>
          <w:szCs w:val="26"/>
        </w:rPr>
        <w:t xml:space="preserve">was issued in May </w:t>
      </w:r>
      <w:r w:rsidR="00033853">
        <w:rPr>
          <w:sz w:val="26"/>
          <w:szCs w:val="26"/>
        </w:rPr>
        <w:t xml:space="preserve">2009 </w:t>
      </w:r>
      <w:r>
        <w:rPr>
          <w:sz w:val="26"/>
          <w:szCs w:val="26"/>
        </w:rPr>
        <w:t xml:space="preserve">to gather information on available “packaged” applications in the marketplace.  Upon completion of its evaluation of the responses and additional information-gathering activities, the Companies will develop a Request for Proposal.  </w:t>
      </w:r>
      <w:r w:rsidR="0053497E">
        <w:rPr>
          <w:sz w:val="26"/>
          <w:szCs w:val="26"/>
        </w:rPr>
        <w:t>In addition,</w:t>
      </w:r>
      <w:r w:rsidR="00A208EF">
        <w:rPr>
          <w:sz w:val="26"/>
          <w:szCs w:val="26"/>
        </w:rPr>
        <w:t xml:space="preserve"> the Companies intend to retain an evaluation, monitoring and verification contractor to identify issues that may require mid-course correction, </w:t>
      </w:r>
      <w:r w:rsidR="00250C83">
        <w:rPr>
          <w:sz w:val="26"/>
          <w:szCs w:val="26"/>
        </w:rPr>
        <w:t>g</w:t>
      </w:r>
      <w:r w:rsidR="00A208EF">
        <w:rPr>
          <w:sz w:val="26"/>
          <w:szCs w:val="26"/>
        </w:rPr>
        <w:t xml:space="preserve">auge progress toward goals and measure </w:t>
      </w:r>
      <w:r w:rsidR="00250C83">
        <w:rPr>
          <w:sz w:val="26"/>
          <w:szCs w:val="26"/>
        </w:rPr>
        <w:t xml:space="preserve">satisfaction with programs.  </w:t>
      </w:r>
      <w:r w:rsidR="0096742A">
        <w:rPr>
          <w:sz w:val="26"/>
          <w:szCs w:val="26"/>
        </w:rPr>
        <w:t xml:space="preserve">FirstEnergy’s September 21, 2009 Plans at § 6.2.  </w:t>
      </w:r>
    </w:p>
    <w:p w:rsidR="00951E43" w:rsidRPr="006C6CE7" w:rsidRDefault="00951E43" w:rsidP="004747F4">
      <w:pPr>
        <w:spacing w:line="360" w:lineRule="auto"/>
        <w:ind w:firstLine="1440"/>
        <w:rPr>
          <w:sz w:val="26"/>
          <w:szCs w:val="26"/>
        </w:rPr>
      </w:pPr>
    </w:p>
    <w:p w:rsidR="003819AD" w:rsidRPr="006C6CE7" w:rsidRDefault="00EF2D02" w:rsidP="004747F4">
      <w:pPr>
        <w:spacing w:line="360" w:lineRule="auto"/>
        <w:ind w:firstLine="1440"/>
        <w:rPr>
          <w:sz w:val="26"/>
          <w:szCs w:val="26"/>
        </w:rPr>
      </w:pPr>
      <w:r w:rsidRPr="006C6CE7">
        <w:rPr>
          <w:sz w:val="26"/>
          <w:szCs w:val="26"/>
        </w:rPr>
        <w:t xml:space="preserve">The Plans include budgets </w:t>
      </w:r>
      <w:r w:rsidR="009129CC">
        <w:rPr>
          <w:sz w:val="26"/>
          <w:szCs w:val="26"/>
        </w:rPr>
        <w:t xml:space="preserve">for implementing the Companies’ EE&amp;C Plans.  </w:t>
      </w:r>
      <w:r w:rsidR="00DA009C" w:rsidRPr="00DE5384">
        <w:rPr>
          <w:i/>
          <w:sz w:val="26"/>
          <w:szCs w:val="26"/>
        </w:rPr>
        <w:t>See</w:t>
      </w:r>
      <w:r w:rsidR="00DA009C">
        <w:rPr>
          <w:sz w:val="26"/>
          <w:szCs w:val="26"/>
        </w:rPr>
        <w:t xml:space="preserve"> </w:t>
      </w:r>
      <w:r w:rsidR="00652AAD">
        <w:rPr>
          <w:sz w:val="26"/>
          <w:szCs w:val="26"/>
        </w:rPr>
        <w:t xml:space="preserve">FirstEnergy’s September 21, 2009 Plans at </w:t>
      </w:r>
      <w:r w:rsidR="00DA009C">
        <w:rPr>
          <w:sz w:val="26"/>
          <w:szCs w:val="26"/>
        </w:rPr>
        <w:t>Appendix G, Tables 3, 6A-6C</w:t>
      </w:r>
      <w:r w:rsidR="00652AAD">
        <w:rPr>
          <w:sz w:val="26"/>
          <w:szCs w:val="26"/>
        </w:rPr>
        <w:t xml:space="preserve">.  </w:t>
      </w:r>
      <w:r w:rsidRPr="006C6CE7">
        <w:rPr>
          <w:sz w:val="26"/>
          <w:szCs w:val="26"/>
        </w:rPr>
        <w:t>The</w:t>
      </w:r>
      <w:r w:rsidR="009129CC">
        <w:rPr>
          <w:sz w:val="26"/>
          <w:szCs w:val="26"/>
        </w:rPr>
        <w:t xml:space="preserve"> Companies would recover the</w:t>
      </w:r>
      <w:r w:rsidR="003819AD" w:rsidRPr="006C6CE7">
        <w:rPr>
          <w:sz w:val="26"/>
          <w:szCs w:val="26"/>
        </w:rPr>
        <w:t xml:space="preserve">se costs </w:t>
      </w:r>
      <w:r w:rsidR="009129CC">
        <w:rPr>
          <w:sz w:val="26"/>
          <w:szCs w:val="26"/>
        </w:rPr>
        <w:t>thro</w:t>
      </w:r>
      <w:r w:rsidR="003819AD" w:rsidRPr="006C6CE7">
        <w:rPr>
          <w:sz w:val="26"/>
          <w:szCs w:val="26"/>
        </w:rPr>
        <w:t xml:space="preserve">ugh an Energy Efficiency and Conservation </w:t>
      </w:r>
      <w:r w:rsidR="003819AD" w:rsidRPr="006C6CE7">
        <w:rPr>
          <w:sz w:val="26"/>
          <w:szCs w:val="26"/>
        </w:rPr>
        <w:lastRenderedPageBreak/>
        <w:t>Charg</w:t>
      </w:r>
      <w:r w:rsidR="009129CC">
        <w:rPr>
          <w:sz w:val="26"/>
          <w:szCs w:val="26"/>
        </w:rPr>
        <w:t xml:space="preserve">e (EEC-C) Rider, </w:t>
      </w:r>
      <w:r w:rsidR="00E208D7">
        <w:rPr>
          <w:sz w:val="26"/>
          <w:szCs w:val="26"/>
        </w:rPr>
        <w:t xml:space="preserve">which </w:t>
      </w:r>
      <w:r w:rsidR="00E37781">
        <w:rPr>
          <w:sz w:val="26"/>
          <w:szCs w:val="26"/>
        </w:rPr>
        <w:t xml:space="preserve">is calculated separately for </w:t>
      </w:r>
      <w:r w:rsidR="00FD77B0">
        <w:rPr>
          <w:sz w:val="26"/>
          <w:szCs w:val="26"/>
        </w:rPr>
        <w:t xml:space="preserve">residential, commercial and industrial </w:t>
      </w:r>
      <w:r w:rsidR="00E37781">
        <w:rPr>
          <w:sz w:val="26"/>
          <w:szCs w:val="26"/>
        </w:rPr>
        <w:t>c</w:t>
      </w:r>
      <w:r w:rsidR="00FD77B0">
        <w:rPr>
          <w:sz w:val="26"/>
          <w:szCs w:val="26"/>
        </w:rPr>
        <w:t>ustomers for each c</w:t>
      </w:r>
      <w:r w:rsidR="00FB103D">
        <w:rPr>
          <w:sz w:val="26"/>
          <w:szCs w:val="26"/>
        </w:rPr>
        <w:t>ompany</w:t>
      </w:r>
      <w:r w:rsidR="00E37781">
        <w:rPr>
          <w:sz w:val="26"/>
          <w:szCs w:val="26"/>
        </w:rPr>
        <w:t xml:space="preserve">.  The EEC-C Rider </w:t>
      </w:r>
      <w:r w:rsidR="009129CC">
        <w:rPr>
          <w:sz w:val="26"/>
          <w:szCs w:val="26"/>
        </w:rPr>
        <w:t>w</w:t>
      </w:r>
      <w:r w:rsidR="00C54FDA">
        <w:rPr>
          <w:sz w:val="26"/>
          <w:szCs w:val="26"/>
        </w:rPr>
        <w:t xml:space="preserve">ould be a kilowatt-hour rate that is </w:t>
      </w:r>
      <w:r w:rsidR="006052F6">
        <w:rPr>
          <w:sz w:val="26"/>
          <w:szCs w:val="26"/>
        </w:rPr>
        <w:t xml:space="preserve">expected to be </w:t>
      </w:r>
      <w:r w:rsidR="00C54FDA">
        <w:rPr>
          <w:sz w:val="26"/>
          <w:szCs w:val="26"/>
        </w:rPr>
        <w:t xml:space="preserve">constant </w:t>
      </w:r>
      <w:r w:rsidR="00FB103D">
        <w:rPr>
          <w:sz w:val="26"/>
          <w:szCs w:val="26"/>
        </w:rPr>
        <w:t>during</w:t>
      </w:r>
      <w:r w:rsidR="00C54FDA">
        <w:rPr>
          <w:sz w:val="26"/>
          <w:szCs w:val="26"/>
        </w:rPr>
        <w:t xml:space="preserve"> the </w:t>
      </w:r>
      <w:r w:rsidR="006052F6">
        <w:rPr>
          <w:sz w:val="26"/>
          <w:szCs w:val="26"/>
        </w:rPr>
        <w:t>entire</w:t>
      </w:r>
      <w:r w:rsidR="009129CC">
        <w:rPr>
          <w:sz w:val="26"/>
          <w:szCs w:val="26"/>
        </w:rPr>
        <w:t xml:space="preserve"> period covered by the Plan</w:t>
      </w:r>
      <w:r w:rsidR="00016B13">
        <w:rPr>
          <w:sz w:val="26"/>
          <w:szCs w:val="26"/>
        </w:rPr>
        <w:t>s</w:t>
      </w:r>
      <w:r w:rsidR="00F60DA0">
        <w:rPr>
          <w:sz w:val="26"/>
          <w:szCs w:val="26"/>
        </w:rPr>
        <w:t xml:space="preserve"> (November </w:t>
      </w:r>
      <w:r w:rsidR="009129CC">
        <w:rPr>
          <w:sz w:val="26"/>
          <w:szCs w:val="26"/>
        </w:rPr>
        <w:t>1, 2009</w:t>
      </w:r>
      <w:r w:rsidR="00CE04DB">
        <w:rPr>
          <w:sz w:val="26"/>
          <w:szCs w:val="26"/>
        </w:rPr>
        <w:t>,</w:t>
      </w:r>
      <w:r w:rsidR="009129CC">
        <w:rPr>
          <w:sz w:val="26"/>
          <w:szCs w:val="26"/>
        </w:rPr>
        <w:t xml:space="preserve"> through May 31, 2013)</w:t>
      </w:r>
      <w:r w:rsidR="003819AD" w:rsidRPr="006C6CE7">
        <w:rPr>
          <w:sz w:val="26"/>
          <w:szCs w:val="26"/>
        </w:rPr>
        <w:t>.</w:t>
      </w:r>
      <w:r w:rsidR="009129CC">
        <w:rPr>
          <w:sz w:val="26"/>
          <w:szCs w:val="26"/>
        </w:rPr>
        <w:t xml:space="preserve"> </w:t>
      </w:r>
      <w:r w:rsidR="00FD77B0">
        <w:rPr>
          <w:sz w:val="26"/>
          <w:szCs w:val="26"/>
        </w:rPr>
        <w:t xml:space="preserve">“However, upon determination that the EEC-C rates would result in material over- or under-collections of recoverable costs incurred or expected to be incurred . . . the Company may request that the Commission approve interim revisions to the EEC-C rates.”  </w:t>
      </w:r>
      <w:r w:rsidR="00016B13">
        <w:rPr>
          <w:sz w:val="26"/>
          <w:szCs w:val="26"/>
        </w:rPr>
        <w:t xml:space="preserve"> </w:t>
      </w:r>
      <w:r w:rsidR="0031079C">
        <w:rPr>
          <w:sz w:val="26"/>
          <w:szCs w:val="26"/>
        </w:rPr>
        <w:t xml:space="preserve">Met Ed’s </w:t>
      </w:r>
      <w:r w:rsidR="00652AAD">
        <w:rPr>
          <w:sz w:val="26"/>
          <w:szCs w:val="26"/>
        </w:rPr>
        <w:t xml:space="preserve">September 21, 2009 Plan at </w:t>
      </w:r>
      <w:r w:rsidR="0031079C">
        <w:rPr>
          <w:sz w:val="26"/>
          <w:szCs w:val="26"/>
        </w:rPr>
        <w:t xml:space="preserve">25.  </w:t>
      </w:r>
      <w:r w:rsidR="00C54FDA">
        <w:rPr>
          <w:sz w:val="26"/>
          <w:szCs w:val="26"/>
        </w:rPr>
        <w:t>A reconciliation of costs and re</w:t>
      </w:r>
      <w:r w:rsidR="00E208D7">
        <w:rPr>
          <w:sz w:val="26"/>
          <w:szCs w:val="26"/>
        </w:rPr>
        <w:t xml:space="preserve">venues would occur at the end of the forty-three month period. </w:t>
      </w:r>
      <w:r w:rsidR="00E37781">
        <w:rPr>
          <w:sz w:val="26"/>
          <w:szCs w:val="26"/>
        </w:rPr>
        <w:t xml:space="preserve"> The EEC-C Rider would appear as a separate line item on customers’ bills.  </w:t>
      </w:r>
      <w:r w:rsidR="00DA009C" w:rsidRPr="00DE5384">
        <w:rPr>
          <w:i/>
          <w:sz w:val="26"/>
          <w:szCs w:val="26"/>
        </w:rPr>
        <w:t>See</w:t>
      </w:r>
      <w:r w:rsidR="00DA009C">
        <w:rPr>
          <w:sz w:val="26"/>
          <w:szCs w:val="26"/>
        </w:rPr>
        <w:t xml:space="preserve"> </w:t>
      </w:r>
      <w:r w:rsidR="00652AAD">
        <w:rPr>
          <w:sz w:val="26"/>
          <w:szCs w:val="26"/>
        </w:rPr>
        <w:t xml:space="preserve">FirstEnergy’s September 21, 2009 Plans at </w:t>
      </w:r>
      <w:r w:rsidR="00DA009C">
        <w:rPr>
          <w:sz w:val="26"/>
          <w:szCs w:val="26"/>
        </w:rPr>
        <w:t>Appendix H</w:t>
      </w:r>
      <w:r w:rsidR="009E2AB9">
        <w:rPr>
          <w:sz w:val="26"/>
          <w:szCs w:val="26"/>
        </w:rPr>
        <w:t>.</w:t>
      </w:r>
      <w:r w:rsidR="009129CC">
        <w:rPr>
          <w:sz w:val="26"/>
          <w:szCs w:val="26"/>
        </w:rPr>
        <w:t xml:space="preserve"> </w:t>
      </w:r>
      <w:r w:rsidR="003819AD" w:rsidRPr="006C6CE7">
        <w:rPr>
          <w:sz w:val="26"/>
          <w:szCs w:val="26"/>
        </w:rPr>
        <w:t xml:space="preserve">  </w:t>
      </w:r>
    </w:p>
    <w:p w:rsidR="00951E43" w:rsidRPr="006C6CE7" w:rsidRDefault="00951E43" w:rsidP="004747F4">
      <w:pPr>
        <w:spacing w:line="360" w:lineRule="auto"/>
        <w:ind w:firstLine="1440"/>
        <w:rPr>
          <w:sz w:val="26"/>
          <w:szCs w:val="26"/>
        </w:rPr>
      </w:pPr>
    </w:p>
    <w:p w:rsidR="004933B3" w:rsidRDefault="004933B3">
      <w:pPr>
        <w:spacing w:after="200" w:line="276" w:lineRule="auto"/>
        <w:rPr>
          <w:rFonts w:eastAsiaTheme="majorEastAsia" w:cstheme="majorBidi"/>
          <w:b/>
          <w:bCs/>
          <w:sz w:val="26"/>
          <w:szCs w:val="26"/>
        </w:rPr>
      </w:pPr>
      <w:bookmarkStart w:id="16" w:name="_Toc242516221"/>
      <w:r>
        <w:rPr>
          <w:szCs w:val="26"/>
        </w:rPr>
        <w:br w:type="page"/>
      </w:r>
    </w:p>
    <w:p w:rsidR="001A395D" w:rsidRPr="0056717C" w:rsidRDefault="00B6382E" w:rsidP="00B858C2">
      <w:pPr>
        <w:pStyle w:val="Heading1"/>
        <w:rPr>
          <w:szCs w:val="26"/>
        </w:rPr>
      </w:pPr>
      <w:bookmarkStart w:id="17" w:name="_Toc244499277"/>
      <w:r>
        <w:rPr>
          <w:szCs w:val="26"/>
        </w:rPr>
        <w:lastRenderedPageBreak/>
        <w:t xml:space="preserve">V.  </w:t>
      </w:r>
      <w:r w:rsidR="006F4B78">
        <w:rPr>
          <w:szCs w:val="26"/>
        </w:rPr>
        <w:tab/>
      </w:r>
      <w:r w:rsidR="001A395D" w:rsidRPr="0056717C">
        <w:rPr>
          <w:szCs w:val="26"/>
        </w:rPr>
        <w:t>Discussion</w:t>
      </w:r>
      <w:bookmarkEnd w:id="16"/>
      <w:bookmarkEnd w:id="17"/>
    </w:p>
    <w:p w:rsidR="00422F86" w:rsidRDefault="00422F86" w:rsidP="00DB1424">
      <w:pPr>
        <w:spacing w:line="360" w:lineRule="auto"/>
        <w:ind w:firstLine="1440"/>
        <w:rPr>
          <w:sz w:val="26"/>
          <w:szCs w:val="26"/>
        </w:rPr>
      </w:pPr>
    </w:p>
    <w:p w:rsidR="008333CE" w:rsidRDefault="008333CE" w:rsidP="008333CE">
      <w:pPr>
        <w:spacing w:line="360" w:lineRule="auto"/>
        <w:ind w:firstLine="1440"/>
        <w:rPr>
          <w:sz w:val="26"/>
        </w:rPr>
      </w:pPr>
      <w:r>
        <w:rPr>
          <w:sz w:val="26"/>
          <w:szCs w:val="26"/>
        </w:rPr>
        <w:t xml:space="preserve">In Commission proceedings, </w:t>
      </w:r>
      <w:r w:rsidRPr="008F0B41">
        <w:rPr>
          <w:sz w:val="26"/>
          <w:szCs w:val="26"/>
        </w:rPr>
        <w:t>the proponent of a rule or order</w:t>
      </w:r>
      <w:r>
        <w:rPr>
          <w:sz w:val="26"/>
          <w:szCs w:val="26"/>
        </w:rPr>
        <w:t xml:space="preserve"> bears</w:t>
      </w:r>
      <w:r w:rsidRPr="008F0B41">
        <w:rPr>
          <w:sz w:val="26"/>
          <w:szCs w:val="26"/>
        </w:rPr>
        <w:t xml:space="preserve"> the burden of </w:t>
      </w:r>
      <w:r>
        <w:rPr>
          <w:sz w:val="26"/>
          <w:szCs w:val="26"/>
        </w:rPr>
        <w:t>p</w:t>
      </w:r>
      <w:r w:rsidRPr="008F0B41">
        <w:rPr>
          <w:sz w:val="26"/>
          <w:szCs w:val="26"/>
        </w:rPr>
        <w:t>roof</w:t>
      </w:r>
      <w:r>
        <w:rPr>
          <w:sz w:val="26"/>
          <w:szCs w:val="26"/>
        </w:rPr>
        <w:t xml:space="preserve">. </w:t>
      </w:r>
      <w:r w:rsidRPr="008F0B41">
        <w:rPr>
          <w:sz w:val="26"/>
          <w:szCs w:val="26"/>
        </w:rPr>
        <w:t xml:space="preserve"> 66 Pa. C.S. § 332(a).  </w:t>
      </w:r>
      <w:r>
        <w:rPr>
          <w:sz w:val="26"/>
          <w:szCs w:val="26"/>
        </w:rPr>
        <w:t xml:space="preserve">To satisfy that burden, the proponent of a rule or order must prove each element of its case by a preponderance of the evidence.  </w:t>
      </w:r>
      <w:r w:rsidRPr="008F0B41">
        <w:rPr>
          <w:i/>
          <w:iCs/>
          <w:sz w:val="26"/>
          <w:szCs w:val="26"/>
        </w:rPr>
        <w:t>Samuel J. Lansberry, Inc. v. P</w:t>
      </w:r>
      <w:r>
        <w:rPr>
          <w:i/>
          <w:iCs/>
          <w:sz w:val="26"/>
          <w:szCs w:val="26"/>
        </w:rPr>
        <w:t>a. PUC</w:t>
      </w:r>
      <w:r w:rsidRPr="008F0B41">
        <w:rPr>
          <w:sz w:val="26"/>
          <w:szCs w:val="26"/>
        </w:rPr>
        <w:t>, 578 A.2d 600 (Pa. C</w:t>
      </w:r>
      <w:r>
        <w:rPr>
          <w:sz w:val="26"/>
          <w:szCs w:val="26"/>
        </w:rPr>
        <w:t>m</w:t>
      </w:r>
      <w:r w:rsidRPr="008F0B41">
        <w:rPr>
          <w:sz w:val="26"/>
          <w:szCs w:val="26"/>
        </w:rPr>
        <w:t>w</w:t>
      </w:r>
      <w:r>
        <w:rPr>
          <w:sz w:val="26"/>
          <w:szCs w:val="26"/>
        </w:rPr>
        <w:t>lth</w:t>
      </w:r>
      <w:r w:rsidRPr="008F0B41">
        <w:rPr>
          <w:sz w:val="26"/>
          <w:szCs w:val="26"/>
        </w:rPr>
        <w:t xml:space="preserve">. 1990).  </w:t>
      </w:r>
      <w:r>
        <w:rPr>
          <w:sz w:val="26"/>
          <w:szCs w:val="26"/>
        </w:rPr>
        <w:t xml:space="preserve">A preponderance of the evidence is established by presenting evidence that is more convincing, by even the smallest amount, than that presented by the other parties to the case.  </w:t>
      </w:r>
      <w:r>
        <w:rPr>
          <w:i/>
          <w:sz w:val="26"/>
          <w:szCs w:val="26"/>
        </w:rPr>
        <w:t xml:space="preserve">Se-Ling Hosiery v. </w:t>
      </w:r>
      <w:r w:rsidR="001C010A">
        <w:rPr>
          <w:i/>
          <w:sz w:val="26"/>
          <w:szCs w:val="26"/>
        </w:rPr>
        <w:t>Marg</w:t>
      </w:r>
      <w:r w:rsidRPr="00122405">
        <w:rPr>
          <w:i/>
          <w:sz w:val="26"/>
          <w:szCs w:val="26"/>
        </w:rPr>
        <w:t>ulies</w:t>
      </w:r>
      <w:r>
        <w:rPr>
          <w:sz w:val="26"/>
          <w:szCs w:val="26"/>
        </w:rPr>
        <w:t xml:space="preserve">, 364 Pa. 45, 70 A.2d 854 (1950).  </w:t>
      </w:r>
      <w:r w:rsidRPr="00122405">
        <w:rPr>
          <w:sz w:val="26"/>
          <w:szCs w:val="26"/>
        </w:rPr>
        <w:t>Additionally</w:t>
      </w:r>
      <w:r w:rsidRPr="008F0B41">
        <w:rPr>
          <w:sz w:val="26"/>
          <w:szCs w:val="26"/>
        </w:rPr>
        <w:t xml:space="preserve">, </w:t>
      </w:r>
      <w:r>
        <w:rPr>
          <w:sz w:val="26"/>
          <w:szCs w:val="26"/>
        </w:rPr>
        <w:t xml:space="preserve">this Commission’s </w:t>
      </w:r>
      <w:r w:rsidRPr="008F0B41">
        <w:rPr>
          <w:sz w:val="26"/>
        </w:rPr>
        <w:t xml:space="preserve">decision </w:t>
      </w:r>
      <w:r>
        <w:rPr>
          <w:sz w:val="26"/>
        </w:rPr>
        <w:t>mu</w:t>
      </w:r>
      <w:r w:rsidRPr="008F0B41">
        <w:rPr>
          <w:sz w:val="26"/>
        </w:rPr>
        <w:t>s</w:t>
      </w:r>
      <w:r>
        <w:rPr>
          <w:sz w:val="26"/>
        </w:rPr>
        <w:t>t be</w:t>
      </w:r>
      <w:r w:rsidRPr="008F0B41">
        <w:rPr>
          <w:sz w:val="26"/>
        </w:rPr>
        <w:t xml:space="preserve"> supported by substantial evidence in the record. </w:t>
      </w:r>
      <w:r>
        <w:rPr>
          <w:sz w:val="26"/>
        </w:rPr>
        <w:t xml:space="preserve"> </w:t>
      </w:r>
      <w:r w:rsidRPr="008F0B41">
        <w:rPr>
          <w:sz w:val="26"/>
        </w:rPr>
        <w:t>More is required than a mere trace of evidence or a suspicion of the existence of a fact sought to be established.</w:t>
      </w:r>
      <w:r>
        <w:rPr>
          <w:sz w:val="26"/>
        </w:rPr>
        <w:t xml:space="preserve">  </w:t>
      </w:r>
      <w:r>
        <w:rPr>
          <w:i/>
          <w:sz w:val="26"/>
        </w:rPr>
        <w:t xml:space="preserve">Norfolk &amp; Western Ry. Co. v. Pa. PUC, </w:t>
      </w:r>
      <w:r>
        <w:rPr>
          <w:sz w:val="26"/>
        </w:rPr>
        <w:t>489 Pa. 109, 413 A.2d 1037 (1980).</w:t>
      </w:r>
    </w:p>
    <w:p w:rsidR="00412936" w:rsidRDefault="00412936" w:rsidP="00DB1424">
      <w:pPr>
        <w:spacing w:line="360" w:lineRule="auto"/>
        <w:ind w:firstLine="1440"/>
        <w:rPr>
          <w:sz w:val="26"/>
          <w:szCs w:val="26"/>
        </w:rPr>
      </w:pPr>
    </w:p>
    <w:p w:rsidR="00367979" w:rsidRPr="00367979" w:rsidRDefault="008333CE" w:rsidP="00367979">
      <w:pPr>
        <w:spacing w:line="360" w:lineRule="auto"/>
        <w:ind w:firstLine="1440"/>
        <w:rPr>
          <w:sz w:val="26"/>
          <w:szCs w:val="26"/>
        </w:rPr>
      </w:pPr>
      <w:r>
        <w:rPr>
          <w:sz w:val="26"/>
          <w:szCs w:val="26"/>
        </w:rPr>
        <w:t>W</w:t>
      </w:r>
      <w:r w:rsidR="00367979" w:rsidRPr="00AC6C96">
        <w:rPr>
          <w:sz w:val="26"/>
          <w:szCs w:val="26"/>
        </w:rPr>
        <w:t>e note that any issue that we do not specifically address herein has been duly considered and will be denied without further discussion.  It is well settled that we are not required to consider expressly or at length each conten</w:t>
      </w:r>
      <w:r w:rsidR="005843D4">
        <w:rPr>
          <w:sz w:val="26"/>
          <w:szCs w:val="26"/>
        </w:rPr>
        <w:t>tion or argument raised by the p</w:t>
      </w:r>
      <w:r w:rsidR="00367979" w:rsidRPr="00AC6C96">
        <w:rPr>
          <w:sz w:val="26"/>
          <w:szCs w:val="26"/>
        </w:rPr>
        <w:t xml:space="preserve">arties.  </w:t>
      </w:r>
      <w:hyperlink r:id="rId10" w:history="1">
        <w:r w:rsidR="00367979" w:rsidRPr="00367979">
          <w:rPr>
            <w:rStyle w:val="Emphasis"/>
            <w:color w:val="000000"/>
            <w:sz w:val="26"/>
            <w:szCs w:val="26"/>
          </w:rPr>
          <w:t>Consolidated Rail Corporation v. Pa. PUC</w:t>
        </w:r>
        <w:r w:rsidR="00367979" w:rsidRPr="00367979">
          <w:rPr>
            <w:rStyle w:val="Hyperlink"/>
            <w:color w:val="000000"/>
            <w:sz w:val="26"/>
            <w:szCs w:val="26"/>
            <w:u w:val="none"/>
          </w:rPr>
          <w:t>, 625 A.2d 741 (Pa. Cmwlth. 1993);</w:t>
        </w:r>
      </w:hyperlink>
      <w:r w:rsidR="00367979" w:rsidRPr="00367979">
        <w:rPr>
          <w:color w:val="000000"/>
          <w:sz w:val="26"/>
          <w:szCs w:val="26"/>
        </w:rPr>
        <w:t xml:space="preserve"> </w:t>
      </w:r>
      <w:r w:rsidR="00367979" w:rsidRPr="00367979">
        <w:rPr>
          <w:rStyle w:val="Emphasis"/>
          <w:color w:val="000000"/>
          <w:sz w:val="26"/>
          <w:szCs w:val="26"/>
        </w:rPr>
        <w:t>see</w:t>
      </w:r>
      <w:r w:rsidR="000662FC">
        <w:rPr>
          <w:rStyle w:val="Emphasis"/>
          <w:color w:val="000000"/>
          <w:sz w:val="26"/>
          <w:szCs w:val="26"/>
        </w:rPr>
        <w:t xml:space="preserve"> also</w:t>
      </w:r>
      <w:r w:rsidR="00367979" w:rsidRPr="00367979">
        <w:rPr>
          <w:rStyle w:val="Emphasis"/>
          <w:color w:val="000000"/>
          <w:sz w:val="26"/>
          <w:szCs w:val="26"/>
        </w:rPr>
        <w:t xml:space="preserve">, generally, </w:t>
      </w:r>
      <w:hyperlink r:id="rId11" w:history="1">
        <w:r w:rsidR="00367979" w:rsidRPr="00367979">
          <w:rPr>
            <w:rStyle w:val="Emphasis"/>
            <w:color w:val="000000"/>
            <w:sz w:val="26"/>
            <w:szCs w:val="26"/>
          </w:rPr>
          <w:t>University of Pennsyl</w:t>
        </w:r>
        <w:r w:rsidR="00367979" w:rsidRPr="00367979">
          <w:rPr>
            <w:rStyle w:val="Emphasis"/>
            <w:color w:val="000000"/>
            <w:sz w:val="26"/>
            <w:szCs w:val="26"/>
          </w:rPr>
          <w:softHyphen/>
          <w:t>vania v. Pa. PUC</w:t>
        </w:r>
        <w:r w:rsidR="00367979" w:rsidRPr="00367979">
          <w:rPr>
            <w:rStyle w:val="Hyperlink"/>
            <w:color w:val="000000"/>
            <w:sz w:val="26"/>
            <w:szCs w:val="26"/>
            <w:u w:val="none"/>
          </w:rPr>
          <w:t>, 485 A.2d 1217 (Pa. Cmwlth. 1984).</w:t>
        </w:r>
      </w:hyperlink>
      <w:r w:rsidR="00367979" w:rsidRPr="00367979">
        <w:rPr>
          <w:sz w:val="26"/>
          <w:szCs w:val="26"/>
        </w:rPr>
        <w:t xml:space="preserve">  </w:t>
      </w:r>
    </w:p>
    <w:p w:rsidR="008C318C" w:rsidRDefault="008C318C" w:rsidP="00DB1424">
      <w:pPr>
        <w:spacing w:line="360" w:lineRule="auto"/>
        <w:ind w:firstLine="1440"/>
        <w:rPr>
          <w:sz w:val="26"/>
          <w:szCs w:val="26"/>
        </w:rPr>
      </w:pPr>
    </w:p>
    <w:p w:rsidR="001A395D" w:rsidRPr="0056717C" w:rsidRDefault="00B6382E" w:rsidP="00A55D5C">
      <w:pPr>
        <w:pStyle w:val="Heading2"/>
      </w:pPr>
      <w:bookmarkStart w:id="18" w:name="_Toc242516222"/>
      <w:bookmarkStart w:id="19" w:name="_Toc244499278"/>
      <w:r>
        <w:t xml:space="preserve">A.  </w:t>
      </w:r>
      <w:r w:rsidR="006F4B78">
        <w:tab/>
      </w:r>
      <w:r w:rsidR="0004330A" w:rsidRPr="0056717C">
        <w:t>Act 129 Conservation and Demand Reduction Requirements</w:t>
      </w:r>
      <w:bookmarkEnd w:id="18"/>
      <w:bookmarkEnd w:id="19"/>
    </w:p>
    <w:p w:rsidR="0004330A" w:rsidRDefault="0004330A" w:rsidP="0004330A">
      <w:pPr>
        <w:spacing w:line="360" w:lineRule="auto"/>
        <w:ind w:firstLine="720"/>
        <w:rPr>
          <w:sz w:val="26"/>
          <w:szCs w:val="26"/>
        </w:rPr>
      </w:pPr>
    </w:p>
    <w:p w:rsidR="0004330A" w:rsidRPr="0056717C" w:rsidRDefault="00B6382E" w:rsidP="00A55D5C">
      <w:pPr>
        <w:pStyle w:val="Heading3"/>
      </w:pPr>
      <w:bookmarkStart w:id="20" w:name="_Toc242516223"/>
      <w:bookmarkStart w:id="21" w:name="_Toc244499279"/>
      <w:r>
        <w:t xml:space="preserve">1.  </w:t>
      </w:r>
      <w:r w:rsidR="006F4B78">
        <w:tab/>
      </w:r>
      <w:r w:rsidR="0004330A" w:rsidRPr="0056717C">
        <w:t>Overall Conservation Requirements</w:t>
      </w:r>
      <w:bookmarkEnd w:id="20"/>
      <w:bookmarkEnd w:id="21"/>
    </w:p>
    <w:p w:rsidR="0004330A" w:rsidRDefault="0004330A" w:rsidP="0004330A">
      <w:pPr>
        <w:spacing w:line="360" w:lineRule="auto"/>
        <w:ind w:firstLine="720"/>
        <w:rPr>
          <w:sz w:val="26"/>
          <w:szCs w:val="26"/>
        </w:rPr>
      </w:pPr>
    </w:p>
    <w:p w:rsidR="007A6991" w:rsidRPr="009530CF" w:rsidRDefault="007A6991" w:rsidP="007A6991">
      <w:pPr>
        <w:spacing w:line="360" w:lineRule="auto"/>
        <w:ind w:firstLine="1440"/>
        <w:rPr>
          <w:sz w:val="26"/>
          <w:szCs w:val="26"/>
        </w:rPr>
      </w:pPr>
      <w:r w:rsidRPr="009530CF">
        <w:rPr>
          <w:sz w:val="26"/>
          <w:szCs w:val="26"/>
        </w:rPr>
        <w:t xml:space="preserve">The </w:t>
      </w:r>
      <w:r w:rsidRPr="009530CF">
        <w:rPr>
          <w:i/>
          <w:sz w:val="26"/>
          <w:szCs w:val="26"/>
        </w:rPr>
        <w:t>Implementation Order</w:t>
      </w:r>
      <w:r w:rsidRPr="009530CF">
        <w:rPr>
          <w:sz w:val="26"/>
          <w:szCs w:val="26"/>
        </w:rPr>
        <w:t xml:space="preserve">, at 8, noted that both the </w:t>
      </w:r>
      <w:r w:rsidR="005C42A9">
        <w:rPr>
          <w:sz w:val="26"/>
          <w:szCs w:val="26"/>
        </w:rPr>
        <w:t>1%</w:t>
      </w:r>
      <w:r w:rsidRPr="009530CF">
        <w:rPr>
          <w:sz w:val="26"/>
          <w:szCs w:val="26"/>
        </w:rPr>
        <w:t xml:space="preserve"> consumption reduction, to be met by May 31, 2011, and the </w:t>
      </w:r>
      <w:r w:rsidR="005C42A9">
        <w:rPr>
          <w:sz w:val="26"/>
          <w:szCs w:val="26"/>
        </w:rPr>
        <w:t>3%</w:t>
      </w:r>
      <w:r w:rsidRPr="009530CF">
        <w:rPr>
          <w:sz w:val="26"/>
          <w:szCs w:val="26"/>
        </w:rPr>
        <w:t xml:space="preserve"> consumption reduction, to be met by May 31, 2013, are to be measured against the EDC’s expected consumption as forecasted by the Commission for </w:t>
      </w:r>
      <w:r w:rsidR="00C9341F">
        <w:rPr>
          <w:sz w:val="26"/>
          <w:szCs w:val="26"/>
        </w:rPr>
        <w:t xml:space="preserve">the period </w:t>
      </w:r>
      <w:r w:rsidRPr="009530CF">
        <w:rPr>
          <w:sz w:val="26"/>
          <w:szCs w:val="26"/>
        </w:rPr>
        <w:t>June 1, 2009</w:t>
      </w:r>
      <w:r w:rsidR="00CE04DB">
        <w:rPr>
          <w:sz w:val="26"/>
          <w:szCs w:val="26"/>
        </w:rPr>
        <w:t>,</w:t>
      </w:r>
      <w:r w:rsidRPr="009530CF">
        <w:rPr>
          <w:sz w:val="26"/>
          <w:szCs w:val="26"/>
        </w:rPr>
        <w:t xml:space="preserve"> through May 31, 2010.  66 P</w:t>
      </w:r>
      <w:r w:rsidR="00C9341F">
        <w:rPr>
          <w:sz w:val="26"/>
          <w:szCs w:val="26"/>
        </w:rPr>
        <w:t xml:space="preserve">a. C.S. </w:t>
      </w:r>
      <w:r w:rsidR="00D31AAA">
        <w:rPr>
          <w:sz w:val="26"/>
          <w:szCs w:val="26"/>
        </w:rPr>
        <w:br/>
      </w:r>
      <w:r w:rsidR="00C9341F">
        <w:rPr>
          <w:sz w:val="26"/>
          <w:szCs w:val="26"/>
        </w:rPr>
        <w:t>§</w:t>
      </w:r>
      <w:r w:rsidRPr="009530CF">
        <w:rPr>
          <w:sz w:val="26"/>
          <w:szCs w:val="26"/>
        </w:rPr>
        <w:t xml:space="preserve"> 2806.1(c)(1).  Each EDC that was required to file an EE&amp;C plan was required to file its </w:t>
      </w:r>
      <w:r w:rsidRPr="009530CF">
        <w:rPr>
          <w:sz w:val="26"/>
          <w:szCs w:val="26"/>
        </w:rPr>
        <w:lastRenderedPageBreak/>
        <w:t>consumption forecast for the period June 1, 2009</w:t>
      </w:r>
      <w:r w:rsidR="00CE04DB">
        <w:rPr>
          <w:sz w:val="26"/>
          <w:szCs w:val="26"/>
        </w:rPr>
        <w:t>,</w:t>
      </w:r>
      <w:r w:rsidRPr="009530CF">
        <w:rPr>
          <w:sz w:val="26"/>
          <w:szCs w:val="26"/>
        </w:rPr>
        <w:t xml:space="preserve"> through May 31, 2010</w:t>
      </w:r>
      <w:r w:rsidR="00CE04DB">
        <w:rPr>
          <w:sz w:val="26"/>
          <w:szCs w:val="26"/>
        </w:rPr>
        <w:t>,</w:t>
      </w:r>
      <w:r w:rsidRPr="009530CF">
        <w:rPr>
          <w:sz w:val="26"/>
          <w:szCs w:val="26"/>
        </w:rPr>
        <w:t xml:space="preserve"> by February 9, 2009.    </w:t>
      </w:r>
    </w:p>
    <w:p w:rsidR="007A6991" w:rsidRPr="009530CF" w:rsidRDefault="007A6991" w:rsidP="007A6991">
      <w:pPr>
        <w:spacing w:line="360" w:lineRule="auto"/>
        <w:ind w:firstLine="1440"/>
        <w:rPr>
          <w:sz w:val="26"/>
          <w:szCs w:val="26"/>
        </w:rPr>
      </w:pPr>
    </w:p>
    <w:p w:rsidR="007A6991" w:rsidRPr="009530CF" w:rsidRDefault="007A6991" w:rsidP="007A6991">
      <w:pPr>
        <w:spacing w:line="360" w:lineRule="auto"/>
        <w:ind w:firstLine="1440"/>
        <w:rPr>
          <w:sz w:val="26"/>
          <w:szCs w:val="26"/>
        </w:rPr>
      </w:pPr>
      <w:r w:rsidRPr="009530CF">
        <w:rPr>
          <w:sz w:val="26"/>
          <w:szCs w:val="26"/>
        </w:rPr>
        <w:t xml:space="preserve">In </w:t>
      </w:r>
      <w:r w:rsidRPr="009530CF">
        <w:rPr>
          <w:i/>
          <w:sz w:val="26"/>
          <w:szCs w:val="26"/>
        </w:rPr>
        <w:t xml:space="preserve">Energy Consumption and Peak Demand Reduction Targets, </w:t>
      </w:r>
      <w:r w:rsidR="00583978">
        <w:rPr>
          <w:sz w:val="26"/>
          <w:szCs w:val="26"/>
        </w:rPr>
        <w:t>Docket No. </w:t>
      </w:r>
      <w:r w:rsidRPr="009530CF">
        <w:rPr>
          <w:sz w:val="26"/>
          <w:szCs w:val="26"/>
        </w:rPr>
        <w:t>M-2008-2069887 (Order entered March 30, 2009) (</w:t>
      </w:r>
      <w:r w:rsidRPr="009530CF">
        <w:rPr>
          <w:i/>
          <w:sz w:val="26"/>
          <w:szCs w:val="26"/>
        </w:rPr>
        <w:t>Reduction Target Order</w:t>
      </w:r>
      <w:r w:rsidRPr="009530CF">
        <w:rPr>
          <w:sz w:val="26"/>
          <w:szCs w:val="26"/>
        </w:rPr>
        <w:t xml:space="preserve">), the Commission approved </w:t>
      </w:r>
      <w:r w:rsidR="00C9341F">
        <w:rPr>
          <w:sz w:val="26"/>
          <w:szCs w:val="26"/>
        </w:rPr>
        <w:t xml:space="preserve">the forecasts of </w:t>
      </w:r>
      <w:r w:rsidRPr="009530CF">
        <w:rPr>
          <w:sz w:val="26"/>
          <w:szCs w:val="26"/>
        </w:rPr>
        <w:t>Met</w:t>
      </w:r>
      <w:r w:rsidR="00FD03CF">
        <w:rPr>
          <w:sz w:val="26"/>
          <w:szCs w:val="26"/>
        </w:rPr>
        <w:t xml:space="preserve"> </w:t>
      </w:r>
      <w:r w:rsidRPr="009530CF">
        <w:rPr>
          <w:sz w:val="26"/>
          <w:szCs w:val="26"/>
        </w:rPr>
        <w:t>Ed, Penelec and Penn Power of 14,865,036 MWh, 14,399,289 MWh and 4,772,937 MWh</w:t>
      </w:r>
      <w:r w:rsidR="00314A85">
        <w:rPr>
          <w:sz w:val="26"/>
          <w:szCs w:val="26"/>
        </w:rPr>
        <w:t>,</w:t>
      </w:r>
      <w:r w:rsidRPr="009530CF">
        <w:rPr>
          <w:sz w:val="26"/>
          <w:szCs w:val="26"/>
        </w:rPr>
        <w:t xml:space="preserve"> respectively, and in turn </w:t>
      </w:r>
      <w:r w:rsidR="00C9341F">
        <w:rPr>
          <w:sz w:val="26"/>
          <w:szCs w:val="26"/>
        </w:rPr>
        <w:t xml:space="preserve">approved </w:t>
      </w:r>
      <w:r w:rsidRPr="009530CF">
        <w:rPr>
          <w:sz w:val="26"/>
          <w:szCs w:val="26"/>
        </w:rPr>
        <w:t xml:space="preserve">their respective </w:t>
      </w:r>
      <w:r w:rsidR="005C42A9">
        <w:rPr>
          <w:sz w:val="26"/>
          <w:szCs w:val="26"/>
        </w:rPr>
        <w:t xml:space="preserve">1% </w:t>
      </w:r>
      <w:r w:rsidRPr="009530CF">
        <w:rPr>
          <w:sz w:val="26"/>
          <w:szCs w:val="26"/>
        </w:rPr>
        <w:t>reduction</w:t>
      </w:r>
      <w:r w:rsidR="00C9341F">
        <w:rPr>
          <w:sz w:val="26"/>
          <w:szCs w:val="26"/>
        </w:rPr>
        <w:t xml:space="preserve"> target</w:t>
      </w:r>
      <w:r w:rsidRPr="009530CF">
        <w:rPr>
          <w:sz w:val="26"/>
          <w:szCs w:val="26"/>
        </w:rPr>
        <w:t xml:space="preserve">s of 148,650 MWh, 143,993 MWh and 47,729 MWh as of May 31, 2011.  The </w:t>
      </w:r>
      <w:r w:rsidRPr="009530CF">
        <w:rPr>
          <w:i/>
          <w:sz w:val="26"/>
          <w:szCs w:val="26"/>
        </w:rPr>
        <w:t xml:space="preserve">Reduction </w:t>
      </w:r>
      <w:r w:rsidR="00C9341F">
        <w:rPr>
          <w:i/>
          <w:sz w:val="26"/>
          <w:szCs w:val="26"/>
        </w:rPr>
        <w:t xml:space="preserve">Target </w:t>
      </w:r>
      <w:r w:rsidRPr="009530CF">
        <w:rPr>
          <w:i/>
          <w:sz w:val="26"/>
          <w:szCs w:val="26"/>
        </w:rPr>
        <w:t>Order</w:t>
      </w:r>
      <w:r w:rsidRPr="009530CF">
        <w:rPr>
          <w:sz w:val="26"/>
          <w:szCs w:val="26"/>
        </w:rPr>
        <w:t xml:space="preserve"> also approved </w:t>
      </w:r>
      <w:r w:rsidR="00C9341F">
        <w:rPr>
          <w:sz w:val="26"/>
          <w:szCs w:val="26"/>
        </w:rPr>
        <w:t xml:space="preserve">the </w:t>
      </w:r>
      <w:r w:rsidR="005C42A9">
        <w:rPr>
          <w:sz w:val="26"/>
          <w:szCs w:val="26"/>
        </w:rPr>
        <w:t>3%</w:t>
      </w:r>
      <w:r w:rsidR="00C9341F">
        <w:rPr>
          <w:sz w:val="26"/>
          <w:szCs w:val="26"/>
        </w:rPr>
        <w:t xml:space="preserve"> reduction targets of </w:t>
      </w:r>
      <w:r w:rsidRPr="009530CF">
        <w:rPr>
          <w:sz w:val="26"/>
          <w:szCs w:val="26"/>
        </w:rPr>
        <w:t>Met</w:t>
      </w:r>
      <w:r w:rsidR="00FD03CF">
        <w:rPr>
          <w:sz w:val="26"/>
          <w:szCs w:val="26"/>
        </w:rPr>
        <w:t xml:space="preserve"> </w:t>
      </w:r>
      <w:r w:rsidRPr="009530CF">
        <w:rPr>
          <w:sz w:val="26"/>
          <w:szCs w:val="26"/>
        </w:rPr>
        <w:t>Ed, Penelec and Penn Power</w:t>
      </w:r>
      <w:r w:rsidR="00C9341F">
        <w:rPr>
          <w:sz w:val="26"/>
          <w:szCs w:val="26"/>
        </w:rPr>
        <w:t xml:space="preserve"> </w:t>
      </w:r>
      <w:r w:rsidRPr="009530CF">
        <w:rPr>
          <w:sz w:val="26"/>
          <w:szCs w:val="26"/>
        </w:rPr>
        <w:t>of 445,951 MWh, 431,979 MWh and 143,188 MWh</w:t>
      </w:r>
      <w:r w:rsidR="00C9341F">
        <w:rPr>
          <w:sz w:val="26"/>
          <w:szCs w:val="26"/>
        </w:rPr>
        <w:t>, respectively,</w:t>
      </w:r>
      <w:r w:rsidRPr="009530CF">
        <w:rPr>
          <w:sz w:val="26"/>
          <w:szCs w:val="26"/>
        </w:rPr>
        <w:t xml:space="preserve"> as of May 31, 2013.</w:t>
      </w:r>
    </w:p>
    <w:p w:rsidR="007A6991" w:rsidRPr="009530CF" w:rsidRDefault="007A6991" w:rsidP="007A6991">
      <w:pPr>
        <w:spacing w:line="360" w:lineRule="auto"/>
        <w:ind w:firstLine="1440"/>
        <w:rPr>
          <w:sz w:val="26"/>
          <w:szCs w:val="26"/>
        </w:rPr>
      </w:pPr>
    </w:p>
    <w:p w:rsidR="007A6991" w:rsidRDefault="007A6991" w:rsidP="007A6991">
      <w:pPr>
        <w:spacing w:line="360" w:lineRule="auto"/>
        <w:ind w:firstLine="1440"/>
        <w:rPr>
          <w:sz w:val="26"/>
          <w:szCs w:val="26"/>
        </w:rPr>
      </w:pPr>
      <w:r w:rsidRPr="009530CF">
        <w:rPr>
          <w:sz w:val="26"/>
          <w:szCs w:val="26"/>
        </w:rPr>
        <w:t xml:space="preserve">The Plan must include specific proposals to achieve or exceed these required reductions in consumption.  66 Pa. C.S. § 2806.1(b)(1)(i)(A) .  The Commission is required to analyze how the program and individual plans will enable the EDC to </w:t>
      </w:r>
      <w:r w:rsidR="00555263">
        <w:rPr>
          <w:sz w:val="26"/>
          <w:szCs w:val="26"/>
        </w:rPr>
        <w:t xml:space="preserve">meet </w:t>
      </w:r>
      <w:r w:rsidRPr="009530CF">
        <w:rPr>
          <w:sz w:val="26"/>
          <w:szCs w:val="26"/>
        </w:rPr>
        <w:t>or exceed the require</w:t>
      </w:r>
      <w:r w:rsidR="00C9341F">
        <w:rPr>
          <w:sz w:val="26"/>
          <w:szCs w:val="26"/>
        </w:rPr>
        <w:t>d</w:t>
      </w:r>
      <w:r w:rsidRPr="009530CF">
        <w:rPr>
          <w:sz w:val="26"/>
          <w:szCs w:val="26"/>
        </w:rPr>
        <w:t xml:space="preserve"> reductions in consumption.  66 Pa. C.S. § 2806.1(a)(4).   The Commission is also required to develop procedures to ensure compliance with these requirements.  66 Pa. C.S. § 2806.1(a)(9).   </w:t>
      </w:r>
    </w:p>
    <w:p w:rsidR="007A6991" w:rsidRPr="009530CF" w:rsidRDefault="007A6991" w:rsidP="007A6991">
      <w:pPr>
        <w:spacing w:line="360" w:lineRule="auto"/>
        <w:ind w:firstLine="1440"/>
        <w:rPr>
          <w:sz w:val="26"/>
          <w:szCs w:val="26"/>
        </w:rPr>
      </w:pPr>
    </w:p>
    <w:p w:rsidR="0004330A" w:rsidRPr="00FF0956" w:rsidRDefault="00B6382E" w:rsidP="00940B59">
      <w:pPr>
        <w:pStyle w:val="Heading4"/>
      </w:pPr>
      <w:bookmarkStart w:id="22" w:name="_Toc242516224"/>
      <w:bookmarkStart w:id="23" w:name="_Toc244499280"/>
      <w:r>
        <w:t xml:space="preserve">a.  </w:t>
      </w:r>
      <w:r w:rsidR="006F4B78">
        <w:tab/>
      </w:r>
      <w:r w:rsidR="0004330A" w:rsidRPr="00FF0956">
        <w:t>2011 Requirements</w:t>
      </w:r>
      <w:bookmarkEnd w:id="22"/>
      <w:bookmarkEnd w:id="23"/>
    </w:p>
    <w:p w:rsidR="0004330A" w:rsidRDefault="0004330A" w:rsidP="0029321C">
      <w:pPr>
        <w:spacing w:line="360" w:lineRule="auto"/>
        <w:ind w:firstLine="2160"/>
        <w:rPr>
          <w:sz w:val="26"/>
          <w:szCs w:val="26"/>
        </w:rPr>
      </w:pPr>
    </w:p>
    <w:p w:rsidR="008E7C8E" w:rsidRPr="0056717C" w:rsidRDefault="00B6382E" w:rsidP="00940B59">
      <w:pPr>
        <w:pStyle w:val="Heading5"/>
      </w:pPr>
      <w:bookmarkStart w:id="24" w:name="_Toc242516225"/>
      <w:bookmarkStart w:id="25" w:name="_Toc244499281"/>
      <w:r>
        <w:t xml:space="preserve">(1)  </w:t>
      </w:r>
      <w:r w:rsidR="006F4B78">
        <w:tab/>
      </w:r>
      <w:r w:rsidR="008E7C8E" w:rsidRPr="0056717C">
        <w:t>Positions of the Parties</w:t>
      </w:r>
      <w:bookmarkEnd w:id="24"/>
      <w:bookmarkEnd w:id="25"/>
    </w:p>
    <w:p w:rsidR="008E7C8E" w:rsidRDefault="008E7C8E" w:rsidP="008E7C8E">
      <w:pPr>
        <w:spacing w:line="360" w:lineRule="auto"/>
        <w:ind w:firstLine="2880"/>
        <w:rPr>
          <w:sz w:val="26"/>
          <w:szCs w:val="26"/>
        </w:rPr>
      </w:pPr>
    </w:p>
    <w:p w:rsidR="00FF39A3" w:rsidRDefault="00FF39A3" w:rsidP="00FF39A3">
      <w:pPr>
        <w:spacing w:line="360" w:lineRule="auto"/>
        <w:ind w:firstLine="1440"/>
        <w:rPr>
          <w:sz w:val="26"/>
          <w:szCs w:val="26"/>
        </w:rPr>
      </w:pPr>
      <w:r>
        <w:rPr>
          <w:sz w:val="26"/>
          <w:szCs w:val="26"/>
        </w:rPr>
        <w:t xml:space="preserve">The Plans of </w:t>
      </w:r>
      <w:r w:rsidRPr="009530CF">
        <w:rPr>
          <w:sz w:val="26"/>
          <w:szCs w:val="26"/>
        </w:rPr>
        <w:t>Met</w:t>
      </w:r>
      <w:r w:rsidR="00FD03CF">
        <w:rPr>
          <w:sz w:val="26"/>
          <w:szCs w:val="26"/>
        </w:rPr>
        <w:t xml:space="preserve"> </w:t>
      </w:r>
      <w:r w:rsidRPr="009530CF">
        <w:rPr>
          <w:sz w:val="26"/>
          <w:szCs w:val="26"/>
        </w:rPr>
        <w:t>Ed, Penelec and Penn Pow</w:t>
      </w:r>
      <w:r>
        <w:rPr>
          <w:sz w:val="26"/>
          <w:szCs w:val="26"/>
        </w:rPr>
        <w:t>er propose</w:t>
      </w:r>
      <w:r w:rsidRPr="009530CF">
        <w:rPr>
          <w:sz w:val="26"/>
          <w:szCs w:val="26"/>
        </w:rPr>
        <w:t xml:space="preserve"> total energy savings of 177,911 MWh, 174,588 MWh and 57,164 MWh</w:t>
      </w:r>
      <w:r w:rsidR="00314A85">
        <w:rPr>
          <w:sz w:val="26"/>
          <w:szCs w:val="26"/>
        </w:rPr>
        <w:t>,</w:t>
      </w:r>
      <w:r w:rsidRPr="009530CF">
        <w:rPr>
          <w:sz w:val="26"/>
          <w:szCs w:val="26"/>
        </w:rPr>
        <w:t xml:space="preserve"> respectively</w:t>
      </w:r>
      <w:r w:rsidR="00314A85">
        <w:rPr>
          <w:sz w:val="26"/>
          <w:szCs w:val="26"/>
        </w:rPr>
        <w:t>,</w:t>
      </w:r>
      <w:r w:rsidRPr="009530CF">
        <w:rPr>
          <w:sz w:val="26"/>
          <w:szCs w:val="26"/>
        </w:rPr>
        <w:t xml:space="preserve"> by the end of Program Year 2010 (May 31, 2011).  Met</w:t>
      </w:r>
      <w:r w:rsidR="00FD03CF">
        <w:rPr>
          <w:sz w:val="26"/>
          <w:szCs w:val="26"/>
        </w:rPr>
        <w:t xml:space="preserve"> </w:t>
      </w:r>
      <w:r w:rsidRPr="009530CF">
        <w:rPr>
          <w:sz w:val="26"/>
          <w:szCs w:val="26"/>
        </w:rPr>
        <w:t>Ed</w:t>
      </w:r>
      <w:r>
        <w:rPr>
          <w:sz w:val="26"/>
          <w:szCs w:val="26"/>
        </w:rPr>
        <w:t xml:space="preserve">’s September 21, 2009 </w:t>
      </w:r>
      <w:r w:rsidRPr="009530CF">
        <w:rPr>
          <w:sz w:val="26"/>
          <w:szCs w:val="26"/>
        </w:rPr>
        <w:t>Plan</w:t>
      </w:r>
      <w:r>
        <w:rPr>
          <w:sz w:val="26"/>
          <w:szCs w:val="26"/>
        </w:rPr>
        <w:t xml:space="preserve"> at</w:t>
      </w:r>
      <w:r w:rsidRPr="009530CF">
        <w:rPr>
          <w:sz w:val="26"/>
          <w:szCs w:val="26"/>
        </w:rPr>
        <w:t xml:space="preserve"> 20, Penelec</w:t>
      </w:r>
      <w:r>
        <w:rPr>
          <w:sz w:val="26"/>
          <w:szCs w:val="26"/>
        </w:rPr>
        <w:t xml:space="preserve">’s September 21, 2009 </w:t>
      </w:r>
      <w:r w:rsidRPr="009530CF">
        <w:rPr>
          <w:sz w:val="26"/>
          <w:szCs w:val="26"/>
        </w:rPr>
        <w:t>Plan</w:t>
      </w:r>
      <w:r>
        <w:rPr>
          <w:sz w:val="26"/>
          <w:szCs w:val="26"/>
        </w:rPr>
        <w:t xml:space="preserve"> at</w:t>
      </w:r>
      <w:r w:rsidRPr="009530CF">
        <w:rPr>
          <w:sz w:val="26"/>
          <w:szCs w:val="26"/>
        </w:rPr>
        <w:t xml:space="preserve"> 19, and Penn Power</w:t>
      </w:r>
      <w:r>
        <w:rPr>
          <w:sz w:val="26"/>
          <w:szCs w:val="26"/>
        </w:rPr>
        <w:t xml:space="preserve">’s September 21, 2009 </w:t>
      </w:r>
      <w:r w:rsidRPr="009530CF">
        <w:rPr>
          <w:sz w:val="26"/>
          <w:szCs w:val="26"/>
        </w:rPr>
        <w:t>Plan</w:t>
      </w:r>
      <w:r>
        <w:rPr>
          <w:sz w:val="26"/>
          <w:szCs w:val="26"/>
        </w:rPr>
        <w:t xml:space="preserve"> at</w:t>
      </w:r>
      <w:r w:rsidRPr="009530CF">
        <w:rPr>
          <w:sz w:val="26"/>
          <w:szCs w:val="26"/>
        </w:rPr>
        <w:t xml:space="preserve"> 19.</w:t>
      </w:r>
    </w:p>
    <w:p w:rsidR="00FF39A3" w:rsidRDefault="00FF39A3" w:rsidP="00FF39A3">
      <w:pPr>
        <w:spacing w:line="360" w:lineRule="auto"/>
        <w:ind w:firstLine="1440"/>
        <w:rPr>
          <w:sz w:val="26"/>
          <w:szCs w:val="26"/>
        </w:rPr>
      </w:pPr>
    </w:p>
    <w:p w:rsidR="00E37C45" w:rsidRDefault="00E37C45" w:rsidP="00E37C45">
      <w:pPr>
        <w:spacing w:line="360" w:lineRule="auto"/>
        <w:ind w:firstLine="1440"/>
        <w:rPr>
          <w:sz w:val="26"/>
          <w:szCs w:val="26"/>
        </w:rPr>
      </w:pPr>
      <w:r w:rsidRPr="009530CF">
        <w:rPr>
          <w:sz w:val="26"/>
          <w:szCs w:val="26"/>
        </w:rPr>
        <w:lastRenderedPageBreak/>
        <w:t xml:space="preserve">No </w:t>
      </w:r>
      <w:r w:rsidR="000212DB">
        <w:rPr>
          <w:sz w:val="26"/>
          <w:szCs w:val="26"/>
        </w:rPr>
        <w:t>Parties</w:t>
      </w:r>
      <w:r w:rsidRPr="009530CF">
        <w:rPr>
          <w:sz w:val="26"/>
          <w:szCs w:val="26"/>
        </w:rPr>
        <w:t xml:space="preserve"> filed any objections to the 2011 total energy savings</w:t>
      </w:r>
      <w:r w:rsidR="008D7524">
        <w:rPr>
          <w:sz w:val="26"/>
          <w:szCs w:val="26"/>
        </w:rPr>
        <w:t xml:space="preserve"> projections</w:t>
      </w:r>
      <w:r w:rsidRPr="009530CF">
        <w:rPr>
          <w:sz w:val="26"/>
          <w:szCs w:val="26"/>
        </w:rPr>
        <w:t>.</w:t>
      </w:r>
      <w:r w:rsidR="001927FC">
        <w:rPr>
          <w:sz w:val="26"/>
          <w:szCs w:val="26"/>
        </w:rPr>
        <w:t xml:space="preserve">  However, DEP raises an issue that should be considered at the outset, in terms of how energy savings are calculated.</w:t>
      </w:r>
    </w:p>
    <w:p w:rsidR="001927FC" w:rsidRDefault="001927FC" w:rsidP="00E37C45">
      <w:pPr>
        <w:spacing w:line="360" w:lineRule="auto"/>
        <w:ind w:firstLine="1440"/>
        <w:rPr>
          <w:sz w:val="26"/>
          <w:szCs w:val="26"/>
        </w:rPr>
      </w:pPr>
    </w:p>
    <w:p w:rsidR="001927FC" w:rsidRPr="00132974" w:rsidRDefault="001927FC" w:rsidP="001927FC">
      <w:pPr>
        <w:spacing w:line="360" w:lineRule="auto"/>
        <w:ind w:firstLine="1440"/>
        <w:rPr>
          <w:sz w:val="26"/>
          <w:szCs w:val="26"/>
        </w:rPr>
      </w:pPr>
      <w:r w:rsidRPr="00132974">
        <w:rPr>
          <w:sz w:val="26"/>
          <w:szCs w:val="26"/>
        </w:rPr>
        <w:t xml:space="preserve">DEP objects to </w:t>
      </w:r>
      <w:r w:rsidR="00047304">
        <w:rPr>
          <w:sz w:val="26"/>
          <w:szCs w:val="26"/>
        </w:rPr>
        <w:t>FirstEnergy</w:t>
      </w:r>
      <w:r w:rsidRPr="00132974">
        <w:rPr>
          <w:sz w:val="26"/>
          <w:szCs w:val="26"/>
        </w:rPr>
        <w:t xml:space="preserve">’s </w:t>
      </w:r>
      <w:r w:rsidR="00047304">
        <w:rPr>
          <w:sz w:val="26"/>
          <w:szCs w:val="26"/>
        </w:rPr>
        <w:t>Plan</w:t>
      </w:r>
      <w:r w:rsidR="003467BF">
        <w:rPr>
          <w:sz w:val="26"/>
          <w:szCs w:val="26"/>
        </w:rPr>
        <w:t>s</w:t>
      </w:r>
      <w:r w:rsidR="00047304">
        <w:rPr>
          <w:sz w:val="26"/>
          <w:szCs w:val="26"/>
        </w:rPr>
        <w:t xml:space="preserve"> to the extent th</w:t>
      </w:r>
      <w:r w:rsidR="003467BF">
        <w:rPr>
          <w:sz w:val="26"/>
          <w:szCs w:val="26"/>
        </w:rPr>
        <w:t xml:space="preserve">ey </w:t>
      </w:r>
      <w:r w:rsidR="00047304">
        <w:rPr>
          <w:sz w:val="26"/>
          <w:szCs w:val="26"/>
        </w:rPr>
        <w:t xml:space="preserve">take credit for energy usage reductions that will be accomplished through the use of federal or state funds.  </w:t>
      </w:r>
      <w:r w:rsidR="00FD7331">
        <w:rPr>
          <w:sz w:val="26"/>
          <w:szCs w:val="26"/>
        </w:rPr>
        <w:t>DEP notes that two laws were recently enacted that fund energy conservation programs in Pennsylvania:  Pe</w:t>
      </w:r>
      <w:r w:rsidRPr="00132974">
        <w:rPr>
          <w:sz w:val="26"/>
          <w:szCs w:val="26"/>
        </w:rPr>
        <w:t xml:space="preserve">nnsylvania’s Alternative Energy Investment </w:t>
      </w:r>
      <w:r w:rsidRPr="00047304">
        <w:rPr>
          <w:sz w:val="26"/>
          <w:szCs w:val="26"/>
        </w:rPr>
        <w:t>Act</w:t>
      </w:r>
      <w:r w:rsidR="00047304" w:rsidRPr="00047304">
        <w:rPr>
          <w:sz w:val="26"/>
          <w:szCs w:val="26"/>
        </w:rPr>
        <w:t xml:space="preserve">, 73 P.S. </w:t>
      </w:r>
      <w:r w:rsidR="00CE04DB" w:rsidRPr="00047304">
        <w:rPr>
          <w:sz w:val="26"/>
          <w:szCs w:val="26"/>
        </w:rPr>
        <w:t>§§</w:t>
      </w:r>
      <w:r w:rsidR="00CE04DB">
        <w:rPr>
          <w:sz w:val="26"/>
          <w:szCs w:val="26"/>
        </w:rPr>
        <w:t> </w:t>
      </w:r>
      <w:r w:rsidR="00047304" w:rsidRPr="00047304">
        <w:rPr>
          <w:sz w:val="26"/>
          <w:szCs w:val="26"/>
        </w:rPr>
        <w:t>1649.101</w:t>
      </w:r>
      <w:r w:rsidR="00047304" w:rsidRPr="00047304">
        <w:rPr>
          <w:sz w:val="26"/>
          <w:szCs w:val="26"/>
        </w:rPr>
        <w:noBreakHyphen/>
        <w:t xml:space="preserve">1649.711 </w:t>
      </w:r>
      <w:r w:rsidRPr="00047304">
        <w:rPr>
          <w:sz w:val="26"/>
          <w:szCs w:val="26"/>
        </w:rPr>
        <w:t>(Act 1)</w:t>
      </w:r>
      <w:r w:rsidRPr="00132974">
        <w:rPr>
          <w:sz w:val="26"/>
          <w:szCs w:val="26"/>
        </w:rPr>
        <w:t xml:space="preserve"> and the </w:t>
      </w:r>
      <w:r w:rsidR="00FD7331">
        <w:rPr>
          <w:sz w:val="26"/>
          <w:szCs w:val="26"/>
        </w:rPr>
        <w:t xml:space="preserve">federal </w:t>
      </w:r>
      <w:r w:rsidRPr="00132974">
        <w:rPr>
          <w:sz w:val="26"/>
          <w:szCs w:val="26"/>
        </w:rPr>
        <w:t xml:space="preserve">American Recovery and Reinvestment Act (ARRA).  </w:t>
      </w:r>
      <w:r w:rsidR="00047304">
        <w:rPr>
          <w:sz w:val="26"/>
          <w:szCs w:val="26"/>
        </w:rPr>
        <w:t xml:space="preserve">According to DEP, </w:t>
      </w:r>
      <w:r w:rsidRPr="00132974">
        <w:rPr>
          <w:sz w:val="26"/>
          <w:szCs w:val="26"/>
        </w:rPr>
        <w:t>e</w:t>
      </w:r>
      <w:r w:rsidR="00883F91">
        <w:rPr>
          <w:sz w:val="26"/>
          <w:szCs w:val="26"/>
        </w:rPr>
        <w:t>ach</w:t>
      </w:r>
      <w:r w:rsidRPr="00132974">
        <w:rPr>
          <w:sz w:val="26"/>
          <w:szCs w:val="26"/>
        </w:rPr>
        <w:t xml:space="preserve"> Plan “jeopardize</w:t>
      </w:r>
      <w:r w:rsidR="00883F91">
        <w:rPr>
          <w:sz w:val="26"/>
          <w:szCs w:val="26"/>
        </w:rPr>
        <w:t>s</w:t>
      </w:r>
      <w:r w:rsidRPr="00132974">
        <w:rPr>
          <w:sz w:val="26"/>
          <w:szCs w:val="26"/>
        </w:rPr>
        <w:t xml:space="preserve"> the Commonwealth’s ability to obtain futur</w:t>
      </w:r>
      <w:r w:rsidR="003575DB">
        <w:rPr>
          <w:sz w:val="26"/>
          <w:szCs w:val="26"/>
        </w:rPr>
        <w:t>e funding under ARRA and thwart</w:t>
      </w:r>
      <w:r w:rsidR="00883F91">
        <w:rPr>
          <w:sz w:val="26"/>
          <w:szCs w:val="26"/>
        </w:rPr>
        <w:t>s</w:t>
      </w:r>
      <w:r w:rsidRPr="00132974">
        <w:rPr>
          <w:sz w:val="26"/>
          <w:szCs w:val="26"/>
        </w:rPr>
        <w:t xml:space="preserve"> the very purpose of Act 1 and Act 129 by using tax dollars to subsidize EDC </w:t>
      </w:r>
      <w:r w:rsidR="003171EE">
        <w:rPr>
          <w:sz w:val="26"/>
          <w:szCs w:val="26"/>
        </w:rPr>
        <w:t>EEC Plans.”  DEP St.</w:t>
      </w:r>
      <w:r w:rsidR="00FD7331">
        <w:rPr>
          <w:sz w:val="26"/>
          <w:szCs w:val="26"/>
        </w:rPr>
        <w:t xml:space="preserve"> 1 at 5; DEP MB at 13-14.</w:t>
      </w:r>
    </w:p>
    <w:p w:rsidR="001927FC" w:rsidRPr="00132974" w:rsidRDefault="001927FC" w:rsidP="001927FC">
      <w:pPr>
        <w:spacing w:line="360" w:lineRule="auto"/>
        <w:ind w:firstLine="1440"/>
        <w:rPr>
          <w:sz w:val="26"/>
          <w:szCs w:val="26"/>
        </w:rPr>
      </w:pPr>
    </w:p>
    <w:p w:rsidR="00827FBB" w:rsidRDefault="00BE01D1" w:rsidP="00BE01D1">
      <w:pPr>
        <w:spacing w:line="360" w:lineRule="auto"/>
        <w:ind w:firstLine="1440"/>
        <w:rPr>
          <w:sz w:val="26"/>
          <w:szCs w:val="26"/>
        </w:rPr>
      </w:pPr>
      <w:r>
        <w:rPr>
          <w:sz w:val="26"/>
          <w:szCs w:val="26"/>
        </w:rPr>
        <w:t xml:space="preserve">FirstEnergy </w:t>
      </w:r>
      <w:r w:rsidR="00327D82">
        <w:rPr>
          <w:sz w:val="26"/>
          <w:szCs w:val="26"/>
        </w:rPr>
        <w:t xml:space="preserve">notes that </w:t>
      </w:r>
      <w:r w:rsidR="008D0648">
        <w:rPr>
          <w:sz w:val="26"/>
          <w:szCs w:val="26"/>
        </w:rPr>
        <w:t>it prepared its P</w:t>
      </w:r>
      <w:r w:rsidR="00A00DA5">
        <w:rPr>
          <w:sz w:val="26"/>
          <w:szCs w:val="26"/>
        </w:rPr>
        <w:t xml:space="preserve">lans in accordance with the </w:t>
      </w:r>
      <w:r w:rsidR="00327D82">
        <w:rPr>
          <w:sz w:val="26"/>
          <w:szCs w:val="26"/>
        </w:rPr>
        <w:t>Commission</w:t>
      </w:r>
      <w:r w:rsidR="00A00DA5">
        <w:rPr>
          <w:sz w:val="26"/>
          <w:szCs w:val="26"/>
        </w:rPr>
        <w:t xml:space="preserve">’s </w:t>
      </w:r>
      <w:r w:rsidR="00327D82" w:rsidRPr="00327D82">
        <w:rPr>
          <w:i/>
          <w:sz w:val="26"/>
          <w:szCs w:val="26"/>
        </w:rPr>
        <w:t>TRC Test Order</w:t>
      </w:r>
      <w:r w:rsidR="00A00DA5">
        <w:rPr>
          <w:sz w:val="26"/>
          <w:szCs w:val="26"/>
        </w:rPr>
        <w:t xml:space="preserve">, which </w:t>
      </w:r>
      <w:r w:rsidR="008D0648">
        <w:rPr>
          <w:sz w:val="26"/>
          <w:szCs w:val="26"/>
        </w:rPr>
        <w:t xml:space="preserve">specifically </w:t>
      </w:r>
      <w:r w:rsidR="00A00DA5">
        <w:rPr>
          <w:sz w:val="26"/>
          <w:szCs w:val="26"/>
        </w:rPr>
        <w:t xml:space="preserve">addressed this issue.  If the Commission would now adopt DEP’s position, </w:t>
      </w:r>
      <w:r w:rsidR="00421C89">
        <w:rPr>
          <w:sz w:val="26"/>
          <w:szCs w:val="26"/>
        </w:rPr>
        <w:t xml:space="preserve">FirstEnergy asserts, </w:t>
      </w:r>
      <w:r w:rsidR="00A00DA5">
        <w:rPr>
          <w:sz w:val="26"/>
          <w:szCs w:val="26"/>
        </w:rPr>
        <w:t>“it is quite likely that the Companies would not be able to meet the prescribed savings targets in Act 129.”  FirstEnergy MB at 38.  FirstEnergy also contends that there is no record support for DEP’s assertion that the Plans would jeopardize the Commonwealth’s ability to obtain future federal funding.</w:t>
      </w:r>
      <w:r w:rsidR="008D0648">
        <w:rPr>
          <w:sz w:val="26"/>
          <w:szCs w:val="26"/>
        </w:rPr>
        <w:t xml:space="preserve">  To the contrary,</w:t>
      </w:r>
      <w:r w:rsidR="00A00DA5">
        <w:rPr>
          <w:sz w:val="26"/>
          <w:szCs w:val="26"/>
        </w:rPr>
        <w:t xml:space="preserve"> FirstEnergy notes that t</w:t>
      </w:r>
      <w:r w:rsidR="008D0648">
        <w:rPr>
          <w:sz w:val="26"/>
          <w:szCs w:val="26"/>
        </w:rPr>
        <w:t>he record contains guidelines for ARRA funding applications, which specifically authorize the use of ARRA funds to supplement other funds made available to customers.  FirstEnergy Cross Exam. Ex</w:t>
      </w:r>
      <w:r w:rsidR="00421C89">
        <w:rPr>
          <w:sz w:val="26"/>
          <w:szCs w:val="26"/>
        </w:rPr>
        <w:t>h</w:t>
      </w:r>
      <w:r w:rsidR="008D0648">
        <w:rPr>
          <w:sz w:val="26"/>
          <w:szCs w:val="26"/>
        </w:rPr>
        <w:t>. 3 at 23 and FirstEnergy Cross Exam. Ex</w:t>
      </w:r>
      <w:r w:rsidR="00421C89">
        <w:rPr>
          <w:sz w:val="26"/>
          <w:szCs w:val="26"/>
        </w:rPr>
        <w:t>h</w:t>
      </w:r>
      <w:r w:rsidR="008D0648">
        <w:rPr>
          <w:sz w:val="26"/>
          <w:szCs w:val="26"/>
        </w:rPr>
        <w:t>. 4 at 10.</w:t>
      </w:r>
    </w:p>
    <w:p w:rsidR="00827FBB" w:rsidRDefault="00827FBB" w:rsidP="00BE01D1">
      <w:pPr>
        <w:spacing w:line="360" w:lineRule="auto"/>
        <w:ind w:firstLine="1440"/>
        <w:rPr>
          <w:sz w:val="26"/>
          <w:szCs w:val="26"/>
        </w:rPr>
      </w:pPr>
    </w:p>
    <w:p w:rsidR="001927FC" w:rsidRDefault="00827FBB" w:rsidP="00BE01D1">
      <w:pPr>
        <w:spacing w:line="360" w:lineRule="auto"/>
        <w:ind w:firstLine="1440"/>
        <w:rPr>
          <w:sz w:val="26"/>
          <w:szCs w:val="26"/>
        </w:rPr>
      </w:pPr>
      <w:r>
        <w:rPr>
          <w:sz w:val="26"/>
          <w:szCs w:val="26"/>
        </w:rPr>
        <w:t>FDSI supports FirstEnergy’s approach.  FDSI contends that DEP’s “artificial limitation on the use of funding would only tend to hinder customer participation in First Energy’s Act 129 energy efficiency programs:  a counter-productive result.”  FDSI MB at 18.</w:t>
      </w:r>
      <w:r w:rsidR="00A00DA5">
        <w:rPr>
          <w:sz w:val="26"/>
          <w:szCs w:val="26"/>
        </w:rPr>
        <w:t xml:space="preserve"> </w:t>
      </w:r>
      <w:r w:rsidR="00327D82">
        <w:rPr>
          <w:sz w:val="26"/>
          <w:szCs w:val="26"/>
        </w:rPr>
        <w:t xml:space="preserve"> </w:t>
      </w:r>
    </w:p>
    <w:p w:rsidR="001927FC" w:rsidRPr="00132974" w:rsidRDefault="001927FC" w:rsidP="001927FC">
      <w:pPr>
        <w:spacing w:line="360" w:lineRule="auto"/>
        <w:rPr>
          <w:sz w:val="26"/>
          <w:szCs w:val="26"/>
        </w:rPr>
      </w:pPr>
    </w:p>
    <w:p w:rsidR="008E7C8E" w:rsidRPr="0056717C" w:rsidRDefault="00B6382E" w:rsidP="00940B59">
      <w:pPr>
        <w:pStyle w:val="Heading5"/>
      </w:pPr>
      <w:bookmarkStart w:id="26" w:name="_Toc242516226"/>
      <w:bookmarkStart w:id="27" w:name="_Toc244499282"/>
      <w:r>
        <w:lastRenderedPageBreak/>
        <w:t xml:space="preserve">(2)  </w:t>
      </w:r>
      <w:r w:rsidR="006F4B78">
        <w:tab/>
      </w:r>
      <w:r w:rsidR="008E7C8E" w:rsidRPr="0056717C">
        <w:t>Disposition</w:t>
      </w:r>
      <w:bookmarkEnd w:id="26"/>
      <w:bookmarkEnd w:id="27"/>
    </w:p>
    <w:p w:rsidR="009E2982" w:rsidRDefault="009E2982" w:rsidP="00FF2B2C">
      <w:pPr>
        <w:spacing w:line="360" w:lineRule="auto"/>
        <w:ind w:firstLine="1440"/>
        <w:rPr>
          <w:sz w:val="26"/>
          <w:szCs w:val="26"/>
        </w:rPr>
      </w:pPr>
    </w:p>
    <w:p w:rsidR="00FF2B2C" w:rsidRPr="00D712BE" w:rsidRDefault="00FF2B2C" w:rsidP="00FF2B2C">
      <w:pPr>
        <w:spacing w:line="360" w:lineRule="auto"/>
        <w:ind w:firstLine="1440"/>
        <w:rPr>
          <w:sz w:val="26"/>
          <w:szCs w:val="26"/>
        </w:rPr>
      </w:pPr>
      <w:r w:rsidRPr="00D712BE">
        <w:rPr>
          <w:sz w:val="26"/>
          <w:szCs w:val="26"/>
        </w:rPr>
        <w:t xml:space="preserve">In determining whether an EDC may take credit for all energy savings for measures that also are funded in part by ARRA and/or Act 1, we note that Act 129 specifically provides, in pertinent part, that an EE&amp;C measure may be funded “in whole or in part” by the EDC.  66 Pa. C.S. § 2806.1(m).  Neither Act 1 nor Act 129 provides that it is mutually exclusive of the other.  In implementing ARRA, </w:t>
      </w:r>
      <w:r>
        <w:rPr>
          <w:sz w:val="26"/>
          <w:szCs w:val="26"/>
        </w:rPr>
        <w:t>the U.S. Department of Energy (</w:t>
      </w:r>
      <w:r w:rsidRPr="00D712BE">
        <w:rPr>
          <w:sz w:val="26"/>
          <w:szCs w:val="26"/>
        </w:rPr>
        <w:t>DOE</w:t>
      </w:r>
      <w:r>
        <w:rPr>
          <w:sz w:val="26"/>
          <w:szCs w:val="26"/>
        </w:rPr>
        <w:t>)</w:t>
      </w:r>
      <w:r w:rsidRPr="00D712BE">
        <w:rPr>
          <w:sz w:val="26"/>
          <w:szCs w:val="26"/>
        </w:rPr>
        <w:t xml:space="preserve"> clearly contemplated that ARRA funds could be used in conjunction with other funding.  We </w:t>
      </w:r>
      <w:r>
        <w:rPr>
          <w:sz w:val="26"/>
          <w:szCs w:val="26"/>
        </w:rPr>
        <w:t>shall</w:t>
      </w:r>
      <w:r w:rsidRPr="00D712BE">
        <w:rPr>
          <w:sz w:val="26"/>
          <w:szCs w:val="26"/>
        </w:rPr>
        <w:t xml:space="preserve"> not accept DEP’s proposition to pro</w:t>
      </w:r>
      <w:r w:rsidR="008E128F">
        <w:rPr>
          <w:sz w:val="26"/>
          <w:szCs w:val="26"/>
        </w:rPr>
        <w:t>-</w:t>
      </w:r>
      <w:r w:rsidRPr="00D712BE">
        <w:rPr>
          <w:sz w:val="26"/>
          <w:szCs w:val="26"/>
        </w:rPr>
        <w:t>rate or otherwise distribute the energy savings from EE&amp;C projects that receive funding from state or federal sources outside a</w:t>
      </w:r>
      <w:r w:rsidR="001C010A">
        <w:rPr>
          <w:sz w:val="26"/>
          <w:szCs w:val="26"/>
        </w:rPr>
        <w:t>n EDC’s respective Act 129 plan</w:t>
      </w:r>
      <w:r w:rsidRPr="00D712BE">
        <w:rPr>
          <w:sz w:val="26"/>
          <w:szCs w:val="26"/>
        </w:rPr>
        <w:t xml:space="preserve">.  </w:t>
      </w:r>
    </w:p>
    <w:p w:rsidR="00FF2B2C" w:rsidRPr="00D712BE" w:rsidRDefault="00FF2B2C" w:rsidP="00FF2B2C">
      <w:pPr>
        <w:spacing w:line="360" w:lineRule="auto"/>
        <w:rPr>
          <w:sz w:val="26"/>
          <w:szCs w:val="26"/>
        </w:rPr>
      </w:pPr>
    </w:p>
    <w:p w:rsidR="00FF2B2C" w:rsidRDefault="00FF2B2C" w:rsidP="00FF2B2C">
      <w:pPr>
        <w:spacing w:line="360" w:lineRule="auto"/>
        <w:ind w:firstLine="1440"/>
        <w:rPr>
          <w:sz w:val="26"/>
          <w:szCs w:val="26"/>
        </w:rPr>
      </w:pPr>
      <w:r w:rsidRPr="00D712BE">
        <w:rPr>
          <w:sz w:val="26"/>
          <w:szCs w:val="26"/>
        </w:rPr>
        <w:t xml:space="preserve">Even if a particular measure is funded in part by ARRA and/or Act 1, so long as a portion of the measure is attributable to Act 129, an EDC may take credit for all the energy savings attributable to that measure.  We addressed this very issue in our </w:t>
      </w:r>
      <w:r w:rsidRPr="00D712BE">
        <w:rPr>
          <w:i/>
          <w:sz w:val="26"/>
          <w:szCs w:val="26"/>
        </w:rPr>
        <w:t>TRC Test Order</w:t>
      </w:r>
      <w:r w:rsidRPr="00D712BE">
        <w:rPr>
          <w:sz w:val="26"/>
          <w:szCs w:val="26"/>
        </w:rPr>
        <w:t>, finding that:</w:t>
      </w:r>
    </w:p>
    <w:p w:rsidR="00FF2B2C" w:rsidRPr="00D712BE" w:rsidRDefault="00FF2B2C" w:rsidP="00FF2B2C">
      <w:pPr>
        <w:spacing w:line="360" w:lineRule="auto"/>
        <w:ind w:firstLine="1440"/>
        <w:rPr>
          <w:sz w:val="26"/>
          <w:szCs w:val="26"/>
        </w:rPr>
      </w:pPr>
    </w:p>
    <w:p w:rsidR="00FF2B2C" w:rsidRPr="00D712BE" w:rsidRDefault="00FF2B2C" w:rsidP="00FF2B2C">
      <w:pPr>
        <w:ind w:left="720" w:right="900"/>
        <w:rPr>
          <w:sz w:val="26"/>
          <w:szCs w:val="26"/>
        </w:rPr>
      </w:pPr>
      <w:r w:rsidRPr="00D712BE">
        <w:rPr>
          <w:sz w:val="26"/>
          <w:szCs w:val="26"/>
        </w:rPr>
        <w:t xml:space="preserve">EDCs will be able to fully include a measure’s benefits in the TRC </w:t>
      </w:r>
      <w:r>
        <w:rPr>
          <w:sz w:val="26"/>
          <w:szCs w:val="26"/>
        </w:rPr>
        <w:t>Test</w:t>
      </w:r>
      <w:r w:rsidRPr="00D712BE">
        <w:rPr>
          <w:sz w:val="26"/>
          <w:szCs w:val="26"/>
        </w:rPr>
        <w:t xml:space="preserve"> if any portion of the measure is attributable to Act 129.  For the purposes of TRC testing, if the end-use customer is a recipient of an incentive/rebate from an Act 129 program, even if the customer is also a recipient of an Act 1 incentive or rebate for the same equipment or service, we conclude that the entire savings of that equipment or service can also be claimed by the EDC for TRC testing purposes.</w:t>
      </w:r>
    </w:p>
    <w:p w:rsidR="00FF2B2C" w:rsidRDefault="00FF2B2C" w:rsidP="00FF2B2C">
      <w:pPr>
        <w:ind w:left="1440" w:right="900"/>
        <w:rPr>
          <w:sz w:val="26"/>
          <w:szCs w:val="26"/>
        </w:rPr>
      </w:pPr>
    </w:p>
    <w:p w:rsidR="008E128F" w:rsidRPr="00D712BE" w:rsidRDefault="008E128F" w:rsidP="00FF2B2C">
      <w:pPr>
        <w:ind w:left="1440" w:right="900"/>
        <w:rPr>
          <w:sz w:val="26"/>
          <w:szCs w:val="26"/>
        </w:rPr>
      </w:pPr>
    </w:p>
    <w:p w:rsidR="00FF2B2C" w:rsidRPr="00D712BE" w:rsidRDefault="00FF2B2C" w:rsidP="00FF2B2C">
      <w:pPr>
        <w:spacing w:line="360" w:lineRule="auto"/>
        <w:rPr>
          <w:sz w:val="26"/>
          <w:szCs w:val="26"/>
        </w:rPr>
      </w:pPr>
      <w:r w:rsidRPr="00D712BE">
        <w:rPr>
          <w:i/>
          <w:sz w:val="26"/>
          <w:szCs w:val="26"/>
        </w:rPr>
        <w:t>TRC Test O</w:t>
      </w:r>
      <w:r>
        <w:rPr>
          <w:i/>
          <w:sz w:val="26"/>
          <w:szCs w:val="26"/>
        </w:rPr>
        <w:t>r</w:t>
      </w:r>
      <w:r w:rsidRPr="00D712BE">
        <w:rPr>
          <w:i/>
          <w:sz w:val="26"/>
          <w:szCs w:val="26"/>
        </w:rPr>
        <w:t>der</w:t>
      </w:r>
      <w:r w:rsidRPr="00D712BE">
        <w:rPr>
          <w:sz w:val="26"/>
          <w:szCs w:val="26"/>
        </w:rPr>
        <w:t xml:space="preserve"> at 25.  We remain convinced that the public interest will best be served by taking advantage of all the incentives or rebates available.  Rather than pit one government program against another, the programs should complement each other and, optimally, produce a greater saving than the programs would generate working in isolation.</w:t>
      </w:r>
    </w:p>
    <w:p w:rsidR="00FF2B2C" w:rsidRPr="00D712BE" w:rsidRDefault="00FF2B2C" w:rsidP="00FF2B2C">
      <w:pPr>
        <w:spacing w:line="360" w:lineRule="auto"/>
        <w:rPr>
          <w:sz w:val="26"/>
          <w:szCs w:val="26"/>
        </w:rPr>
      </w:pPr>
    </w:p>
    <w:p w:rsidR="00FF2B2C" w:rsidRPr="00D712BE" w:rsidRDefault="00FF2B2C" w:rsidP="00FF2B2C">
      <w:pPr>
        <w:spacing w:line="360" w:lineRule="auto"/>
        <w:ind w:firstLine="1440"/>
        <w:rPr>
          <w:sz w:val="26"/>
          <w:szCs w:val="26"/>
        </w:rPr>
      </w:pPr>
      <w:r w:rsidRPr="00D712BE">
        <w:rPr>
          <w:sz w:val="26"/>
          <w:szCs w:val="26"/>
        </w:rPr>
        <w:lastRenderedPageBreak/>
        <w:t>We did not, however, expressly mention ARRA funding when we said that an EDC could fully include the benefits of an Act 129 EE&amp;C measure that is also partially funded by Act 1</w:t>
      </w:r>
      <w:r w:rsidR="00CE04DB">
        <w:rPr>
          <w:sz w:val="26"/>
          <w:szCs w:val="26"/>
        </w:rPr>
        <w:t xml:space="preserve"> </w:t>
      </w:r>
      <w:r w:rsidRPr="00D712BE">
        <w:rPr>
          <w:sz w:val="26"/>
          <w:szCs w:val="26"/>
        </w:rPr>
        <w:t xml:space="preserve">funds.  To </w:t>
      </w:r>
      <w:r w:rsidR="008E128F">
        <w:rPr>
          <w:sz w:val="26"/>
          <w:szCs w:val="26"/>
        </w:rPr>
        <w:t xml:space="preserve">the </w:t>
      </w:r>
      <w:r w:rsidRPr="00D712BE">
        <w:rPr>
          <w:sz w:val="26"/>
          <w:szCs w:val="26"/>
        </w:rPr>
        <w:t xml:space="preserve">extent that the ARRA funded benefits are consistent with the rationale underlying our decision relative to Act 1, we expressly provided that ARRA incentive payments should be considered benefits in TRC testing.  </w:t>
      </w:r>
      <w:r w:rsidRPr="00D712BE">
        <w:rPr>
          <w:i/>
          <w:sz w:val="26"/>
          <w:szCs w:val="26"/>
        </w:rPr>
        <w:t>TRC Test Order</w:t>
      </w:r>
      <w:r w:rsidR="008E128F">
        <w:rPr>
          <w:sz w:val="26"/>
          <w:szCs w:val="26"/>
        </w:rPr>
        <w:t xml:space="preserve"> at</w:t>
      </w:r>
      <w:r w:rsidRPr="00D712BE">
        <w:rPr>
          <w:sz w:val="26"/>
          <w:szCs w:val="26"/>
        </w:rPr>
        <w:t xml:space="preserve"> 23.  Furthermore, since Act 129 funding is fixed, any additional funds, whether from Act 1, ARRA, or elsewhere, will be used to supplement, not replace, funds from the EDC.  The decision not to require pro</w:t>
      </w:r>
      <w:r w:rsidR="008E128F">
        <w:rPr>
          <w:sz w:val="26"/>
          <w:szCs w:val="26"/>
        </w:rPr>
        <w:t>-</w:t>
      </w:r>
      <w:r w:rsidRPr="00D712BE">
        <w:rPr>
          <w:sz w:val="26"/>
          <w:szCs w:val="26"/>
        </w:rPr>
        <w:t xml:space="preserve">ration of benefits clearly does not violate the guidelines for ARRA funding.  We find that this result is a necessary, reasonable, consistent and logical application of the express provisions of our </w:t>
      </w:r>
      <w:r w:rsidRPr="00D712BE">
        <w:rPr>
          <w:i/>
          <w:sz w:val="26"/>
          <w:szCs w:val="26"/>
        </w:rPr>
        <w:t>TRC Test Order</w:t>
      </w:r>
      <w:r w:rsidRPr="00D712BE">
        <w:rPr>
          <w:sz w:val="26"/>
          <w:szCs w:val="26"/>
        </w:rPr>
        <w:t>.</w:t>
      </w:r>
    </w:p>
    <w:p w:rsidR="00FF2B2C" w:rsidRPr="00D712BE" w:rsidRDefault="00FF2B2C" w:rsidP="00FF2B2C">
      <w:pPr>
        <w:spacing w:line="360" w:lineRule="auto"/>
        <w:rPr>
          <w:sz w:val="26"/>
          <w:szCs w:val="26"/>
        </w:rPr>
      </w:pPr>
    </w:p>
    <w:p w:rsidR="00FF2B2C" w:rsidRDefault="00FF2B2C" w:rsidP="00FF2B2C">
      <w:pPr>
        <w:spacing w:line="360" w:lineRule="auto"/>
        <w:ind w:firstLine="1440"/>
        <w:rPr>
          <w:sz w:val="26"/>
          <w:szCs w:val="26"/>
        </w:rPr>
      </w:pPr>
      <w:r w:rsidRPr="00D712BE">
        <w:rPr>
          <w:sz w:val="26"/>
          <w:szCs w:val="26"/>
        </w:rPr>
        <w:t xml:space="preserve">Further, given that </w:t>
      </w:r>
      <w:r w:rsidR="008E128F">
        <w:rPr>
          <w:sz w:val="26"/>
          <w:szCs w:val="26"/>
        </w:rPr>
        <w:t>FirstEnergy</w:t>
      </w:r>
      <w:r w:rsidRPr="00D712BE">
        <w:rPr>
          <w:sz w:val="26"/>
          <w:szCs w:val="26"/>
        </w:rPr>
        <w:t xml:space="preserve"> has developed its </w:t>
      </w:r>
      <w:r>
        <w:rPr>
          <w:sz w:val="26"/>
          <w:szCs w:val="26"/>
        </w:rPr>
        <w:t>P</w:t>
      </w:r>
      <w:r w:rsidRPr="00D712BE">
        <w:rPr>
          <w:sz w:val="26"/>
          <w:szCs w:val="26"/>
        </w:rPr>
        <w:t>lan</w:t>
      </w:r>
      <w:r w:rsidR="008E128F">
        <w:rPr>
          <w:sz w:val="26"/>
          <w:szCs w:val="26"/>
        </w:rPr>
        <w:t>s</w:t>
      </w:r>
      <w:r w:rsidRPr="00D712BE">
        <w:rPr>
          <w:sz w:val="26"/>
          <w:szCs w:val="26"/>
        </w:rPr>
        <w:t xml:space="preserve"> based on the Commission’s express decision in the </w:t>
      </w:r>
      <w:r w:rsidRPr="00D712BE">
        <w:rPr>
          <w:i/>
          <w:sz w:val="26"/>
          <w:szCs w:val="26"/>
        </w:rPr>
        <w:t>TRC Test Order</w:t>
      </w:r>
      <w:r w:rsidRPr="00D712BE">
        <w:rPr>
          <w:sz w:val="26"/>
          <w:szCs w:val="26"/>
        </w:rPr>
        <w:t xml:space="preserve">, changing the attribution of energy savings from these projects could seriously compromise the ability of </w:t>
      </w:r>
      <w:r w:rsidR="008E128F">
        <w:rPr>
          <w:sz w:val="26"/>
          <w:szCs w:val="26"/>
        </w:rPr>
        <w:t>FirstEnergy</w:t>
      </w:r>
      <w:r w:rsidRPr="00D712BE">
        <w:rPr>
          <w:sz w:val="26"/>
          <w:szCs w:val="26"/>
        </w:rPr>
        <w:t xml:space="preserve"> to comply with its EE&amp;C goals.  Additionally, the cost and complexity of pro</w:t>
      </w:r>
      <w:r w:rsidR="008E128F">
        <w:rPr>
          <w:sz w:val="26"/>
          <w:szCs w:val="26"/>
        </w:rPr>
        <w:t>-</w:t>
      </w:r>
      <w:r w:rsidRPr="00D712BE">
        <w:rPr>
          <w:sz w:val="26"/>
          <w:szCs w:val="26"/>
        </w:rPr>
        <w:t>rating the energy savings among multiple programs would be cost-prohibitive and non-productive.  We see no reaso</w:t>
      </w:r>
      <w:r>
        <w:rPr>
          <w:sz w:val="26"/>
          <w:szCs w:val="26"/>
        </w:rPr>
        <w:t>n to change that determination.</w:t>
      </w:r>
    </w:p>
    <w:p w:rsidR="00FF2B2C" w:rsidRPr="00D712BE" w:rsidRDefault="00FF2B2C" w:rsidP="00FF2B2C">
      <w:pPr>
        <w:spacing w:line="360" w:lineRule="auto"/>
        <w:ind w:firstLine="1440"/>
        <w:rPr>
          <w:sz w:val="26"/>
          <w:szCs w:val="26"/>
        </w:rPr>
      </w:pPr>
    </w:p>
    <w:p w:rsidR="00FF2B2C" w:rsidRPr="00D712BE" w:rsidRDefault="00FF2B2C" w:rsidP="00FF2B2C">
      <w:pPr>
        <w:pStyle w:val="FirmDouble05"/>
        <w:spacing w:after="0" w:line="360" w:lineRule="auto"/>
        <w:ind w:firstLine="1440"/>
        <w:rPr>
          <w:color w:val="FF0000"/>
          <w:sz w:val="26"/>
          <w:szCs w:val="26"/>
        </w:rPr>
      </w:pPr>
      <w:r w:rsidRPr="00D712BE">
        <w:rPr>
          <w:sz w:val="26"/>
          <w:szCs w:val="26"/>
        </w:rPr>
        <w:t xml:space="preserve">Accordingly, </w:t>
      </w:r>
      <w:r w:rsidR="008E128F">
        <w:rPr>
          <w:sz w:val="26"/>
          <w:szCs w:val="26"/>
        </w:rPr>
        <w:t xml:space="preserve">FirstEnergy </w:t>
      </w:r>
      <w:r w:rsidRPr="00D712BE">
        <w:rPr>
          <w:sz w:val="26"/>
          <w:szCs w:val="26"/>
        </w:rPr>
        <w:t xml:space="preserve">will be able to fully include a measure’s </w:t>
      </w:r>
      <w:r w:rsidR="00BB3038">
        <w:rPr>
          <w:sz w:val="26"/>
          <w:szCs w:val="26"/>
        </w:rPr>
        <w:t>energy savings and demand reductions</w:t>
      </w:r>
      <w:r w:rsidRPr="00D712BE">
        <w:rPr>
          <w:sz w:val="26"/>
          <w:szCs w:val="26"/>
        </w:rPr>
        <w:t xml:space="preserve"> if any portion of the measure is attributable to Act 129.  For the purposes of </w:t>
      </w:r>
      <w:r w:rsidR="00BB3038">
        <w:rPr>
          <w:sz w:val="26"/>
          <w:szCs w:val="26"/>
        </w:rPr>
        <w:t>Act 129 energy savings and demand reduction requirements</w:t>
      </w:r>
      <w:r w:rsidRPr="00D712BE">
        <w:rPr>
          <w:sz w:val="26"/>
          <w:szCs w:val="26"/>
        </w:rPr>
        <w:t xml:space="preserve"> and any other or ancillary aspect of Act 129 evaluations, if the end-use customer is a recipient of an incentive/rebate from an Act 129 program, even if the customer is also a recipient of an Act 1 incentive or rebate or ARRA funding for the same equipment or service, we conclude that the entire savings of that equipment or service can also be claimed by </w:t>
      </w:r>
      <w:r w:rsidR="00BB3038">
        <w:rPr>
          <w:sz w:val="26"/>
          <w:szCs w:val="26"/>
        </w:rPr>
        <w:t>the Companies for Act 129 compliance</w:t>
      </w:r>
      <w:r w:rsidRPr="00D712BE">
        <w:rPr>
          <w:sz w:val="26"/>
          <w:szCs w:val="26"/>
        </w:rPr>
        <w:t>.</w:t>
      </w:r>
    </w:p>
    <w:p w:rsidR="008E7C8E" w:rsidRDefault="008E7C8E" w:rsidP="0029321C">
      <w:pPr>
        <w:spacing w:line="360" w:lineRule="auto"/>
        <w:ind w:firstLine="2160"/>
        <w:rPr>
          <w:sz w:val="26"/>
          <w:szCs w:val="26"/>
        </w:rPr>
      </w:pPr>
    </w:p>
    <w:p w:rsidR="00E37C45" w:rsidRPr="008D7524" w:rsidRDefault="00BA7B34" w:rsidP="00E37C45">
      <w:pPr>
        <w:spacing w:line="360" w:lineRule="auto"/>
        <w:ind w:firstLine="1440"/>
        <w:rPr>
          <w:sz w:val="26"/>
          <w:szCs w:val="26"/>
        </w:rPr>
      </w:pPr>
      <w:r>
        <w:rPr>
          <w:sz w:val="26"/>
          <w:szCs w:val="26"/>
        </w:rPr>
        <w:t>Reviewing FirstEnergy’s Plans on this basis,</w:t>
      </w:r>
      <w:r w:rsidR="00BE01D1">
        <w:rPr>
          <w:sz w:val="26"/>
          <w:szCs w:val="26"/>
        </w:rPr>
        <w:t xml:space="preserve"> w</w:t>
      </w:r>
      <w:r w:rsidR="00E37C45" w:rsidRPr="009530CF">
        <w:rPr>
          <w:sz w:val="26"/>
          <w:szCs w:val="26"/>
        </w:rPr>
        <w:t xml:space="preserve">e </w:t>
      </w:r>
      <w:r w:rsidR="003A0182">
        <w:rPr>
          <w:sz w:val="26"/>
          <w:szCs w:val="26"/>
        </w:rPr>
        <w:t>find that the Plans project total energy savings that will meet or exceed the 2011 t</w:t>
      </w:r>
      <w:r w:rsidR="00E37C45" w:rsidRPr="009530CF">
        <w:rPr>
          <w:sz w:val="26"/>
          <w:szCs w:val="26"/>
        </w:rPr>
        <w:t xml:space="preserve">argets </w:t>
      </w:r>
      <w:r w:rsidR="003A0182">
        <w:rPr>
          <w:sz w:val="26"/>
          <w:szCs w:val="26"/>
        </w:rPr>
        <w:t xml:space="preserve">set </w:t>
      </w:r>
      <w:r w:rsidR="008D7524">
        <w:rPr>
          <w:sz w:val="26"/>
          <w:szCs w:val="26"/>
        </w:rPr>
        <w:t xml:space="preserve">forth </w:t>
      </w:r>
      <w:r w:rsidR="00E37C45" w:rsidRPr="009530CF">
        <w:rPr>
          <w:sz w:val="26"/>
          <w:szCs w:val="26"/>
        </w:rPr>
        <w:t xml:space="preserve">in the </w:t>
      </w:r>
      <w:r w:rsidR="00E37C45" w:rsidRPr="009530CF">
        <w:rPr>
          <w:i/>
          <w:sz w:val="26"/>
          <w:szCs w:val="26"/>
        </w:rPr>
        <w:t xml:space="preserve">Reduction </w:t>
      </w:r>
      <w:r w:rsidR="00E37C45" w:rsidRPr="009530CF">
        <w:rPr>
          <w:i/>
          <w:sz w:val="26"/>
          <w:szCs w:val="26"/>
        </w:rPr>
        <w:lastRenderedPageBreak/>
        <w:t>Target Order.</w:t>
      </w:r>
      <w:r w:rsidR="008D7524">
        <w:rPr>
          <w:i/>
          <w:sz w:val="26"/>
          <w:szCs w:val="26"/>
        </w:rPr>
        <w:t xml:space="preserve">  </w:t>
      </w:r>
      <w:r w:rsidR="008D7524">
        <w:rPr>
          <w:sz w:val="26"/>
          <w:szCs w:val="26"/>
        </w:rPr>
        <w:t xml:space="preserve">Nevertheless, for </w:t>
      </w:r>
      <w:r w:rsidR="00F22C46">
        <w:rPr>
          <w:sz w:val="26"/>
          <w:szCs w:val="26"/>
        </w:rPr>
        <w:t xml:space="preserve">the </w:t>
      </w:r>
      <w:r w:rsidR="008D7524">
        <w:rPr>
          <w:sz w:val="26"/>
          <w:szCs w:val="26"/>
        </w:rPr>
        <w:t xml:space="preserve">reasons set forth below, we will require the Companies to recalculate the projected energy savings and resubmit the Plans in accordance with this </w:t>
      </w:r>
      <w:r w:rsidR="003A5D24">
        <w:rPr>
          <w:sz w:val="26"/>
          <w:szCs w:val="26"/>
        </w:rPr>
        <w:t>Opinion and Order</w:t>
      </w:r>
      <w:r w:rsidR="008D7524">
        <w:rPr>
          <w:sz w:val="26"/>
          <w:szCs w:val="26"/>
        </w:rPr>
        <w:t>.</w:t>
      </w:r>
    </w:p>
    <w:p w:rsidR="003A0182" w:rsidRPr="009530CF" w:rsidRDefault="003A0182" w:rsidP="00E37C45">
      <w:pPr>
        <w:spacing w:line="360" w:lineRule="auto"/>
        <w:ind w:firstLine="1440"/>
        <w:rPr>
          <w:sz w:val="26"/>
          <w:szCs w:val="26"/>
        </w:rPr>
      </w:pPr>
    </w:p>
    <w:p w:rsidR="0004330A" w:rsidRPr="00FF0956" w:rsidRDefault="00B6382E" w:rsidP="00940B59">
      <w:pPr>
        <w:pStyle w:val="Heading4"/>
      </w:pPr>
      <w:bookmarkStart w:id="28" w:name="_Toc242516227"/>
      <w:bookmarkStart w:id="29" w:name="_Toc244499283"/>
      <w:r>
        <w:t xml:space="preserve">b.  </w:t>
      </w:r>
      <w:r w:rsidR="006F4B78">
        <w:tab/>
      </w:r>
      <w:r w:rsidR="0004330A" w:rsidRPr="00FF0956">
        <w:t>2013 Requirements</w:t>
      </w:r>
      <w:bookmarkEnd w:id="28"/>
      <w:bookmarkEnd w:id="29"/>
    </w:p>
    <w:p w:rsidR="007819FC" w:rsidRDefault="007819FC" w:rsidP="008E7C8E">
      <w:pPr>
        <w:spacing w:line="360" w:lineRule="auto"/>
        <w:ind w:firstLine="2880"/>
        <w:rPr>
          <w:b/>
          <w:sz w:val="26"/>
          <w:szCs w:val="26"/>
        </w:rPr>
      </w:pPr>
    </w:p>
    <w:p w:rsidR="008E7C8E" w:rsidRPr="00A55D5C" w:rsidRDefault="00B6382E" w:rsidP="00940B59">
      <w:pPr>
        <w:pStyle w:val="Heading5"/>
      </w:pPr>
      <w:bookmarkStart w:id="30" w:name="_Toc242516228"/>
      <w:bookmarkStart w:id="31" w:name="_Toc244499284"/>
      <w:r>
        <w:t xml:space="preserve">(1)  </w:t>
      </w:r>
      <w:r w:rsidR="006F4B78">
        <w:tab/>
      </w:r>
      <w:r w:rsidR="008E7C8E" w:rsidRPr="00A55D5C">
        <w:t>Positions of the Parties</w:t>
      </w:r>
      <w:bookmarkEnd w:id="30"/>
      <w:bookmarkEnd w:id="31"/>
    </w:p>
    <w:p w:rsidR="008E7C8E" w:rsidRDefault="008E7C8E" w:rsidP="008E7C8E">
      <w:pPr>
        <w:spacing w:line="360" w:lineRule="auto"/>
        <w:ind w:firstLine="2880"/>
        <w:rPr>
          <w:sz w:val="26"/>
          <w:szCs w:val="26"/>
        </w:rPr>
      </w:pPr>
    </w:p>
    <w:p w:rsidR="00FF39A3" w:rsidRDefault="00FF39A3" w:rsidP="00FF39A3">
      <w:pPr>
        <w:spacing w:line="360" w:lineRule="auto"/>
        <w:ind w:firstLine="1440"/>
        <w:rPr>
          <w:sz w:val="26"/>
          <w:szCs w:val="26"/>
        </w:rPr>
      </w:pPr>
      <w:r w:rsidRPr="009530CF">
        <w:rPr>
          <w:sz w:val="26"/>
          <w:szCs w:val="26"/>
        </w:rPr>
        <w:t>Total energy savings expected at the end of Program Year 2012 (May 31, 2013) total 457,929 MWh, 449,609 MWh and 146,721 MWh for Met</w:t>
      </w:r>
      <w:r w:rsidR="00FD03CF">
        <w:rPr>
          <w:sz w:val="26"/>
          <w:szCs w:val="26"/>
        </w:rPr>
        <w:t xml:space="preserve"> </w:t>
      </w:r>
      <w:r w:rsidRPr="009530CF">
        <w:rPr>
          <w:sz w:val="26"/>
          <w:szCs w:val="26"/>
        </w:rPr>
        <w:t>Ed, Penelec and Penn Power</w:t>
      </w:r>
      <w:r w:rsidR="00314A85">
        <w:rPr>
          <w:sz w:val="26"/>
          <w:szCs w:val="26"/>
        </w:rPr>
        <w:t>,</w:t>
      </w:r>
      <w:r w:rsidRPr="009530CF">
        <w:rPr>
          <w:sz w:val="26"/>
          <w:szCs w:val="26"/>
        </w:rPr>
        <w:t xml:space="preserve"> respectively.  Met</w:t>
      </w:r>
      <w:r w:rsidR="00FD03CF">
        <w:rPr>
          <w:sz w:val="26"/>
          <w:szCs w:val="26"/>
        </w:rPr>
        <w:t xml:space="preserve"> </w:t>
      </w:r>
      <w:r w:rsidRPr="009530CF">
        <w:rPr>
          <w:sz w:val="26"/>
          <w:szCs w:val="26"/>
        </w:rPr>
        <w:t>Ed</w:t>
      </w:r>
      <w:r>
        <w:rPr>
          <w:sz w:val="26"/>
          <w:szCs w:val="26"/>
        </w:rPr>
        <w:t>’s September 21, 2009</w:t>
      </w:r>
      <w:r w:rsidRPr="009530CF">
        <w:rPr>
          <w:sz w:val="26"/>
          <w:szCs w:val="26"/>
        </w:rPr>
        <w:t xml:space="preserve"> Plan</w:t>
      </w:r>
      <w:r>
        <w:rPr>
          <w:sz w:val="26"/>
          <w:szCs w:val="26"/>
        </w:rPr>
        <w:t xml:space="preserve"> at</w:t>
      </w:r>
      <w:r w:rsidRPr="009530CF">
        <w:rPr>
          <w:sz w:val="26"/>
          <w:szCs w:val="26"/>
        </w:rPr>
        <w:t xml:space="preserve"> 20, Penelec</w:t>
      </w:r>
      <w:r w:rsidR="00F60DA0">
        <w:rPr>
          <w:sz w:val="26"/>
          <w:szCs w:val="26"/>
        </w:rPr>
        <w:t>’s September </w:t>
      </w:r>
      <w:r>
        <w:rPr>
          <w:sz w:val="26"/>
          <w:szCs w:val="26"/>
        </w:rPr>
        <w:t xml:space="preserve">21, 2009 </w:t>
      </w:r>
      <w:r w:rsidRPr="009530CF">
        <w:rPr>
          <w:sz w:val="26"/>
          <w:szCs w:val="26"/>
        </w:rPr>
        <w:t>Plan</w:t>
      </w:r>
      <w:r>
        <w:rPr>
          <w:sz w:val="26"/>
          <w:szCs w:val="26"/>
        </w:rPr>
        <w:t xml:space="preserve"> at</w:t>
      </w:r>
      <w:r w:rsidRPr="009530CF">
        <w:rPr>
          <w:sz w:val="26"/>
          <w:szCs w:val="26"/>
        </w:rPr>
        <w:t xml:space="preserve"> 19, and Penn Power</w:t>
      </w:r>
      <w:r>
        <w:rPr>
          <w:sz w:val="26"/>
          <w:szCs w:val="26"/>
        </w:rPr>
        <w:t xml:space="preserve">’s September 21, 2009 </w:t>
      </w:r>
      <w:r w:rsidRPr="009530CF">
        <w:rPr>
          <w:sz w:val="26"/>
          <w:szCs w:val="26"/>
        </w:rPr>
        <w:t>Plan</w:t>
      </w:r>
      <w:r>
        <w:rPr>
          <w:sz w:val="26"/>
          <w:szCs w:val="26"/>
        </w:rPr>
        <w:t xml:space="preserve"> at</w:t>
      </w:r>
      <w:r w:rsidRPr="009530CF">
        <w:rPr>
          <w:sz w:val="26"/>
          <w:szCs w:val="26"/>
        </w:rPr>
        <w:t xml:space="preserve"> 19.</w:t>
      </w:r>
    </w:p>
    <w:p w:rsidR="00FF39A3" w:rsidRPr="009530CF" w:rsidRDefault="00FF39A3" w:rsidP="00FF39A3">
      <w:pPr>
        <w:spacing w:line="360" w:lineRule="auto"/>
        <w:ind w:firstLine="1440"/>
        <w:rPr>
          <w:sz w:val="26"/>
          <w:szCs w:val="26"/>
        </w:rPr>
      </w:pPr>
    </w:p>
    <w:p w:rsidR="008D7524" w:rsidRPr="009530CF" w:rsidRDefault="008D7524" w:rsidP="008D7524">
      <w:pPr>
        <w:spacing w:line="360" w:lineRule="auto"/>
        <w:ind w:firstLine="1440"/>
        <w:rPr>
          <w:sz w:val="26"/>
          <w:szCs w:val="26"/>
        </w:rPr>
      </w:pPr>
      <w:r w:rsidRPr="009530CF">
        <w:rPr>
          <w:sz w:val="26"/>
          <w:szCs w:val="26"/>
        </w:rPr>
        <w:t xml:space="preserve">No </w:t>
      </w:r>
      <w:r w:rsidR="000212DB">
        <w:rPr>
          <w:sz w:val="26"/>
          <w:szCs w:val="26"/>
        </w:rPr>
        <w:t>Parties</w:t>
      </w:r>
      <w:r w:rsidRPr="009530CF">
        <w:rPr>
          <w:sz w:val="26"/>
          <w:szCs w:val="26"/>
        </w:rPr>
        <w:t xml:space="preserve"> filed any objections to the 2013 total energy savings</w:t>
      </w:r>
      <w:r>
        <w:rPr>
          <w:sz w:val="26"/>
          <w:szCs w:val="26"/>
        </w:rPr>
        <w:t xml:space="preserve"> projections</w:t>
      </w:r>
      <w:r w:rsidRPr="009530CF">
        <w:rPr>
          <w:sz w:val="26"/>
          <w:szCs w:val="26"/>
        </w:rPr>
        <w:t>.</w:t>
      </w:r>
    </w:p>
    <w:p w:rsidR="008D7524" w:rsidRDefault="008D7524" w:rsidP="008E7C8E">
      <w:pPr>
        <w:spacing w:line="360" w:lineRule="auto"/>
        <w:ind w:firstLine="2880"/>
        <w:rPr>
          <w:sz w:val="26"/>
          <w:szCs w:val="26"/>
        </w:rPr>
      </w:pPr>
    </w:p>
    <w:p w:rsidR="008E7C8E" w:rsidRPr="008E7C8E" w:rsidRDefault="00B6382E" w:rsidP="00940B59">
      <w:pPr>
        <w:pStyle w:val="Heading5"/>
      </w:pPr>
      <w:bookmarkStart w:id="32" w:name="_Toc242516229"/>
      <w:bookmarkStart w:id="33" w:name="_Toc244499285"/>
      <w:r>
        <w:t xml:space="preserve">(2)  </w:t>
      </w:r>
      <w:r w:rsidR="006F4B78">
        <w:tab/>
      </w:r>
      <w:r w:rsidR="008E7C8E" w:rsidRPr="00940B59">
        <w:rPr>
          <w:szCs w:val="26"/>
        </w:rPr>
        <w:t>Disposition</w:t>
      </w:r>
      <w:bookmarkEnd w:id="32"/>
      <w:bookmarkEnd w:id="33"/>
    </w:p>
    <w:p w:rsidR="0004330A" w:rsidRDefault="0004330A" w:rsidP="0004330A">
      <w:pPr>
        <w:spacing w:line="360" w:lineRule="auto"/>
        <w:ind w:firstLine="720"/>
        <w:rPr>
          <w:sz w:val="26"/>
          <w:szCs w:val="26"/>
        </w:rPr>
      </w:pPr>
    </w:p>
    <w:p w:rsidR="008D7524" w:rsidRPr="008D7524" w:rsidRDefault="008D7524" w:rsidP="008D7524">
      <w:pPr>
        <w:spacing w:line="360" w:lineRule="auto"/>
        <w:ind w:firstLine="1440"/>
        <w:rPr>
          <w:sz w:val="26"/>
          <w:szCs w:val="26"/>
        </w:rPr>
      </w:pPr>
      <w:r w:rsidRPr="009530CF">
        <w:rPr>
          <w:sz w:val="26"/>
          <w:szCs w:val="26"/>
        </w:rPr>
        <w:t xml:space="preserve">We </w:t>
      </w:r>
      <w:r>
        <w:rPr>
          <w:sz w:val="26"/>
          <w:szCs w:val="26"/>
        </w:rPr>
        <w:t>find that the Plans project total energy savings that will meet or exceed the 2013 t</w:t>
      </w:r>
      <w:r w:rsidRPr="009530CF">
        <w:rPr>
          <w:sz w:val="26"/>
          <w:szCs w:val="26"/>
        </w:rPr>
        <w:t xml:space="preserve">argets </w:t>
      </w:r>
      <w:r>
        <w:rPr>
          <w:sz w:val="26"/>
          <w:szCs w:val="26"/>
        </w:rPr>
        <w:t xml:space="preserve">set forth </w:t>
      </w:r>
      <w:r w:rsidRPr="009530CF">
        <w:rPr>
          <w:sz w:val="26"/>
          <w:szCs w:val="26"/>
        </w:rPr>
        <w:t xml:space="preserve">in the </w:t>
      </w:r>
      <w:r w:rsidRPr="009530CF">
        <w:rPr>
          <w:i/>
          <w:sz w:val="26"/>
          <w:szCs w:val="26"/>
        </w:rPr>
        <w:t>Reduction Target Order.</w:t>
      </w:r>
      <w:r>
        <w:rPr>
          <w:i/>
          <w:sz w:val="26"/>
          <w:szCs w:val="26"/>
        </w:rPr>
        <w:t xml:space="preserve">  </w:t>
      </w:r>
      <w:r>
        <w:rPr>
          <w:sz w:val="26"/>
          <w:szCs w:val="26"/>
        </w:rPr>
        <w:t xml:space="preserve">Nevertheless, for </w:t>
      </w:r>
      <w:r w:rsidR="00F22C46">
        <w:rPr>
          <w:sz w:val="26"/>
          <w:szCs w:val="26"/>
        </w:rPr>
        <w:t xml:space="preserve">the </w:t>
      </w:r>
      <w:r>
        <w:rPr>
          <w:sz w:val="26"/>
          <w:szCs w:val="26"/>
        </w:rPr>
        <w:t xml:space="preserve">reasons set forth below, we will require the Companies to recalculate the projected energy savings and resubmit the Plans in accordance with this </w:t>
      </w:r>
      <w:r w:rsidR="003A5D24">
        <w:rPr>
          <w:sz w:val="26"/>
          <w:szCs w:val="26"/>
        </w:rPr>
        <w:t>Opinion and Order</w:t>
      </w:r>
      <w:r>
        <w:rPr>
          <w:sz w:val="26"/>
          <w:szCs w:val="26"/>
        </w:rPr>
        <w:t>.</w:t>
      </w:r>
    </w:p>
    <w:p w:rsidR="008D7524" w:rsidRDefault="008D7524" w:rsidP="0004330A">
      <w:pPr>
        <w:spacing w:line="360" w:lineRule="auto"/>
        <w:ind w:firstLine="720"/>
        <w:rPr>
          <w:sz w:val="26"/>
          <w:szCs w:val="26"/>
        </w:rPr>
      </w:pPr>
    </w:p>
    <w:p w:rsidR="0004330A" w:rsidRPr="00FF0956" w:rsidRDefault="00B6382E" w:rsidP="00940B59">
      <w:pPr>
        <w:pStyle w:val="Heading3"/>
      </w:pPr>
      <w:bookmarkStart w:id="34" w:name="_Toc242516230"/>
      <w:bookmarkStart w:id="35" w:name="_Toc244499286"/>
      <w:r>
        <w:t xml:space="preserve">2.  </w:t>
      </w:r>
      <w:r w:rsidR="006F4B78">
        <w:tab/>
      </w:r>
      <w:r w:rsidR="0029321C" w:rsidRPr="00FF0956">
        <w:t>Overall Demand Reduction Requirements</w:t>
      </w:r>
      <w:bookmarkEnd w:id="34"/>
      <w:bookmarkEnd w:id="35"/>
    </w:p>
    <w:p w:rsidR="00FC5753" w:rsidRDefault="00FC5753" w:rsidP="00FC5753">
      <w:pPr>
        <w:spacing w:line="360" w:lineRule="auto"/>
        <w:ind w:firstLine="1440"/>
        <w:rPr>
          <w:sz w:val="26"/>
          <w:szCs w:val="26"/>
        </w:rPr>
      </w:pPr>
    </w:p>
    <w:p w:rsidR="00525B7C" w:rsidRPr="009530CF" w:rsidRDefault="00525B7C" w:rsidP="00525B7C">
      <w:pPr>
        <w:spacing w:line="360" w:lineRule="auto"/>
        <w:ind w:firstLine="1440"/>
        <w:rPr>
          <w:sz w:val="26"/>
          <w:szCs w:val="26"/>
        </w:rPr>
      </w:pPr>
      <w:r w:rsidRPr="009530CF">
        <w:rPr>
          <w:sz w:val="26"/>
          <w:szCs w:val="26"/>
        </w:rPr>
        <w:t xml:space="preserve">The </w:t>
      </w:r>
      <w:r w:rsidRPr="009530CF">
        <w:rPr>
          <w:i/>
          <w:sz w:val="26"/>
          <w:szCs w:val="26"/>
        </w:rPr>
        <w:t>Implementation Order</w:t>
      </w:r>
      <w:r w:rsidRPr="009530CF">
        <w:rPr>
          <w:sz w:val="26"/>
          <w:szCs w:val="26"/>
        </w:rPr>
        <w:t xml:space="preserve">, at 9, noted that the </w:t>
      </w:r>
      <w:r w:rsidR="005C42A9">
        <w:rPr>
          <w:sz w:val="26"/>
          <w:szCs w:val="26"/>
        </w:rPr>
        <w:t>4.5%</w:t>
      </w:r>
      <w:r w:rsidRPr="009530CF">
        <w:rPr>
          <w:sz w:val="26"/>
          <w:szCs w:val="26"/>
        </w:rPr>
        <w:t xml:space="preserve"> reduction in peak demand, to be met by May 31, 2013, is to be measured against the EDC’s historical peak load for </w:t>
      </w:r>
      <w:r w:rsidR="00CF65C2">
        <w:rPr>
          <w:sz w:val="26"/>
          <w:szCs w:val="26"/>
        </w:rPr>
        <w:t xml:space="preserve">the period </w:t>
      </w:r>
      <w:r w:rsidRPr="009530CF">
        <w:rPr>
          <w:sz w:val="26"/>
          <w:szCs w:val="26"/>
        </w:rPr>
        <w:t>June 1, 2007, through May 31, 2008.  66 Pa. C.S. § 2806.1(d).  To be i</w:t>
      </w:r>
      <w:r w:rsidR="00CF65C2">
        <w:rPr>
          <w:sz w:val="26"/>
          <w:szCs w:val="26"/>
        </w:rPr>
        <w:t>n compliance</w:t>
      </w:r>
      <w:r w:rsidR="007908F2">
        <w:rPr>
          <w:sz w:val="26"/>
          <w:szCs w:val="26"/>
        </w:rPr>
        <w:t xml:space="preserve"> with this directive</w:t>
      </w:r>
      <w:r w:rsidRPr="009530CF">
        <w:rPr>
          <w:sz w:val="26"/>
          <w:szCs w:val="26"/>
        </w:rPr>
        <w:t>, each EDC must de</w:t>
      </w:r>
      <w:r w:rsidR="00CF5F87">
        <w:rPr>
          <w:sz w:val="26"/>
          <w:szCs w:val="26"/>
        </w:rPr>
        <w:t>monstrate that its Plan produces</w:t>
      </w:r>
      <w:r w:rsidRPr="009530CF">
        <w:rPr>
          <w:sz w:val="26"/>
          <w:szCs w:val="26"/>
        </w:rPr>
        <w:t xml:space="preserve"> demand savings during the 100 hours of highest demand for the period June 1, 2012, </w:t>
      </w:r>
      <w:r w:rsidRPr="009530CF">
        <w:rPr>
          <w:sz w:val="26"/>
          <w:szCs w:val="26"/>
        </w:rPr>
        <w:lastRenderedPageBreak/>
        <w:t xml:space="preserve">through September 30, 2012, equal to at least </w:t>
      </w:r>
      <w:r w:rsidR="007908F2">
        <w:rPr>
          <w:sz w:val="26"/>
          <w:szCs w:val="26"/>
        </w:rPr>
        <w:t>4.5%</w:t>
      </w:r>
      <w:r w:rsidRPr="009530CF">
        <w:rPr>
          <w:sz w:val="26"/>
          <w:szCs w:val="26"/>
        </w:rPr>
        <w:t xml:space="preserve"> of the average of the 100 highest peak hours during the period from June 1, 2007</w:t>
      </w:r>
      <w:r w:rsidR="00306615">
        <w:rPr>
          <w:sz w:val="26"/>
          <w:szCs w:val="26"/>
        </w:rPr>
        <w:t>,</w:t>
      </w:r>
      <w:r w:rsidRPr="009530CF">
        <w:rPr>
          <w:sz w:val="26"/>
          <w:szCs w:val="26"/>
        </w:rPr>
        <w:t xml:space="preserve"> to September 30, 2007</w:t>
      </w:r>
      <w:r w:rsidRPr="009530CF">
        <w:rPr>
          <w:i/>
          <w:sz w:val="26"/>
          <w:szCs w:val="26"/>
        </w:rPr>
        <w:t>.  Implementation Order</w:t>
      </w:r>
      <w:r w:rsidRPr="009530CF">
        <w:rPr>
          <w:sz w:val="26"/>
          <w:szCs w:val="26"/>
        </w:rPr>
        <w:t xml:space="preserve"> at 29.  </w:t>
      </w:r>
      <w:r w:rsidRPr="009530CF">
        <w:rPr>
          <w:i/>
          <w:sz w:val="26"/>
          <w:szCs w:val="26"/>
        </w:rPr>
        <w:t>See also, Reconsideration Order</w:t>
      </w:r>
      <w:r w:rsidRPr="009530CF">
        <w:rPr>
          <w:sz w:val="26"/>
          <w:szCs w:val="26"/>
        </w:rPr>
        <w:t xml:space="preserve"> at 4-8.</w:t>
      </w:r>
    </w:p>
    <w:p w:rsidR="00525B7C" w:rsidRPr="009530CF" w:rsidRDefault="00525B7C" w:rsidP="00525B7C">
      <w:pPr>
        <w:spacing w:line="360" w:lineRule="auto"/>
        <w:ind w:firstLine="1440"/>
        <w:rPr>
          <w:sz w:val="26"/>
          <w:szCs w:val="26"/>
        </w:rPr>
      </w:pPr>
    </w:p>
    <w:p w:rsidR="00525B7C" w:rsidRPr="009530CF" w:rsidRDefault="00CF65C2" w:rsidP="00525B7C">
      <w:pPr>
        <w:spacing w:line="360" w:lineRule="auto"/>
        <w:ind w:firstLine="1440"/>
        <w:rPr>
          <w:sz w:val="26"/>
          <w:szCs w:val="26"/>
        </w:rPr>
      </w:pPr>
      <w:r w:rsidRPr="009530CF">
        <w:rPr>
          <w:sz w:val="26"/>
          <w:szCs w:val="26"/>
        </w:rPr>
        <w:t xml:space="preserve">Each EDC that was required to file an EE&amp;C plan was required to file, by February 9, 2009, certain peak load data for the period June 1, 2007, through May 31, 2008.  </w:t>
      </w:r>
      <w:r w:rsidR="00525B7C" w:rsidRPr="009530CF">
        <w:rPr>
          <w:sz w:val="26"/>
          <w:szCs w:val="26"/>
        </w:rPr>
        <w:t xml:space="preserve">In the </w:t>
      </w:r>
      <w:r w:rsidR="00525B7C" w:rsidRPr="009530CF">
        <w:rPr>
          <w:i/>
          <w:sz w:val="26"/>
          <w:szCs w:val="26"/>
        </w:rPr>
        <w:t>Reduction Target Order</w:t>
      </w:r>
      <w:r w:rsidR="00525B7C" w:rsidRPr="009530CF">
        <w:rPr>
          <w:sz w:val="26"/>
          <w:szCs w:val="26"/>
        </w:rPr>
        <w:t xml:space="preserve">, the Commission approved </w:t>
      </w:r>
      <w:r>
        <w:rPr>
          <w:sz w:val="26"/>
          <w:szCs w:val="26"/>
        </w:rPr>
        <w:t xml:space="preserve">the calculations of </w:t>
      </w:r>
      <w:r w:rsidR="00525B7C" w:rsidRPr="009530CF">
        <w:rPr>
          <w:sz w:val="26"/>
          <w:szCs w:val="26"/>
        </w:rPr>
        <w:t>Met</w:t>
      </w:r>
      <w:r w:rsidR="00FD03CF">
        <w:rPr>
          <w:sz w:val="26"/>
          <w:szCs w:val="26"/>
        </w:rPr>
        <w:t xml:space="preserve"> </w:t>
      </w:r>
      <w:r w:rsidR="00525B7C" w:rsidRPr="009530CF">
        <w:rPr>
          <w:sz w:val="26"/>
          <w:szCs w:val="26"/>
        </w:rPr>
        <w:t>Ed, Penelec and Penn Power of their average historical peak loads for the top 100 hours as 2,644 MW, 2,395 MW and 980 MW</w:t>
      </w:r>
      <w:r w:rsidR="00314A85">
        <w:rPr>
          <w:sz w:val="26"/>
          <w:szCs w:val="26"/>
        </w:rPr>
        <w:t>,</w:t>
      </w:r>
      <w:r w:rsidR="00525B7C" w:rsidRPr="009530CF">
        <w:rPr>
          <w:sz w:val="26"/>
          <w:szCs w:val="26"/>
        </w:rPr>
        <w:t xml:space="preserve"> respectively</w:t>
      </w:r>
      <w:r w:rsidR="00314A85">
        <w:rPr>
          <w:sz w:val="26"/>
          <w:szCs w:val="26"/>
        </w:rPr>
        <w:t>,</w:t>
      </w:r>
      <w:r w:rsidR="00525B7C" w:rsidRPr="009530CF">
        <w:rPr>
          <w:sz w:val="26"/>
          <w:szCs w:val="26"/>
        </w:rPr>
        <w:t xml:space="preserve"> and their respective proposed </w:t>
      </w:r>
      <w:r w:rsidR="005C42A9">
        <w:rPr>
          <w:sz w:val="26"/>
          <w:szCs w:val="26"/>
        </w:rPr>
        <w:t>4.5%</w:t>
      </w:r>
      <w:r w:rsidR="00525B7C" w:rsidRPr="009530CF">
        <w:rPr>
          <w:sz w:val="26"/>
          <w:szCs w:val="26"/>
        </w:rPr>
        <w:t xml:space="preserve"> reduction</w:t>
      </w:r>
      <w:r>
        <w:rPr>
          <w:sz w:val="26"/>
          <w:szCs w:val="26"/>
        </w:rPr>
        <w:t>s</w:t>
      </w:r>
      <w:r w:rsidR="00525B7C" w:rsidRPr="009530CF">
        <w:rPr>
          <w:sz w:val="26"/>
          <w:szCs w:val="26"/>
        </w:rPr>
        <w:t xml:space="preserve"> of 119 MW, 108 MW and 44 MW as of May 31, 2013.   </w:t>
      </w:r>
    </w:p>
    <w:p w:rsidR="00525B7C" w:rsidRPr="009530CF" w:rsidRDefault="00525B7C" w:rsidP="00525B7C">
      <w:pPr>
        <w:spacing w:line="360" w:lineRule="auto"/>
        <w:ind w:firstLine="1440"/>
        <w:rPr>
          <w:sz w:val="26"/>
          <w:szCs w:val="26"/>
        </w:rPr>
      </w:pPr>
    </w:p>
    <w:p w:rsidR="00525B7C" w:rsidRPr="009530CF" w:rsidRDefault="00525B7C" w:rsidP="00525B7C">
      <w:pPr>
        <w:spacing w:line="360" w:lineRule="auto"/>
        <w:ind w:firstLine="1440"/>
        <w:rPr>
          <w:sz w:val="26"/>
          <w:szCs w:val="26"/>
        </w:rPr>
      </w:pPr>
      <w:r w:rsidRPr="009530CF">
        <w:rPr>
          <w:sz w:val="26"/>
          <w:szCs w:val="26"/>
        </w:rPr>
        <w:t>The Plan</w:t>
      </w:r>
      <w:r w:rsidR="00CF65C2">
        <w:rPr>
          <w:sz w:val="26"/>
          <w:szCs w:val="26"/>
        </w:rPr>
        <w:t>s</w:t>
      </w:r>
      <w:r w:rsidRPr="009530CF">
        <w:rPr>
          <w:sz w:val="26"/>
          <w:szCs w:val="26"/>
        </w:rPr>
        <w:t xml:space="preserve"> must include specific pr</w:t>
      </w:r>
      <w:r w:rsidR="00CF5F87">
        <w:rPr>
          <w:sz w:val="26"/>
          <w:szCs w:val="26"/>
        </w:rPr>
        <w:t>oposals to meet</w:t>
      </w:r>
      <w:r w:rsidR="00CF65C2">
        <w:rPr>
          <w:sz w:val="26"/>
          <w:szCs w:val="26"/>
        </w:rPr>
        <w:t xml:space="preserve"> or exceed this required reduction</w:t>
      </w:r>
      <w:r w:rsidRPr="009530CF">
        <w:rPr>
          <w:sz w:val="26"/>
          <w:szCs w:val="26"/>
        </w:rPr>
        <w:t xml:space="preserve"> in consumption.  66 Pa. C.S. § 2806.1(b)(1)(i)(A) .  The Commission is required to analyze how the program and individual plans will enable the EDC to </w:t>
      </w:r>
      <w:r w:rsidR="00CF5F87">
        <w:rPr>
          <w:sz w:val="26"/>
          <w:szCs w:val="26"/>
        </w:rPr>
        <w:t>m</w:t>
      </w:r>
      <w:r w:rsidRPr="009530CF">
        <w:rPr>
          <w:sz w:val="26"/>
          <w:szCs w:val="26"/>
        </w:rPr>
        <w:t>e</w:t>
      </w:r>
      <w:r w:rsidR="00CF5F87">
        <w:rPr>
          <w:sz w:val="26"/>
          <w:szCs w:val="26"/>
        </w:rPr>
        <w:t>et</w:t>
      </w:r>
      <w:r w:rsidRPr="009530CF">
        <w:rPr>
          <w:sz w:val="26"/>
          <w:szCs w:val="26"/>
        </w:rPr>
        <w:t xml:space="preserve"> or exceed the require</w:t>
      </w:r>
      <w:r w:rsidR="00CF65C2">
        <w:rPr>
          <w:sz w:val="26"/>
          <w:szCs w:val="26"/>
        </w:rPr>
        <w:t>d reduction</w:t>
      </w:r>
      <w:r w:rsidRPr="009530CF">
        <w:rPr>
          <w:sz w:val="26"/>
          <w:szCs w:val="26"/>
        </w:rPr>
        <w:t xml:space="preserve"> in consumption.  66 Pa. C.S. § 2806.1(a)(4).   The Commission is also required to develop procedures to ensure compliance with th</w:t>
      </w:r>
      <w:r w:rsidR="00CF65C2">
        <w:rPr>
          <w:sz w:val="26"/>
          <w:szCs w:val="26"/>
        </w:rPr>
        <w:t>is requirement</w:t>
      </w:r>
      <w:r w:rsidRPr="009530CF">
        <w:rPr>
          <w:sz w:val="26"/>
          <w:szCs w:val="26"/>
        </w:rPr>
        <w:t xml:space="preserve">.  66 Pa. C.S. § 2806.1(a)(9).   </w:t>
      </w:r>
    </w:p>
    <w:p w:rsidR="008E7C8E" w:rsidRDefault="008E7C8E" w:rsidP="008E7C8E">
      <w:pPr>
        <w:spacing w:line="360" w:lineRule="auto"/>
        <w:ind w:firstLine="2880"/>
        <w:rPr>
          <w:b/>
          <w:sz w:val="26"/>
          <w:szCs w:val="26"/>
        </w:rPr>
      </w:pPr>
    </w:p>
    <w:p w:rsidR="008E7C8E" w:rsidRPr="008E7C8E" w:rsidRDefault="008E7C8E" w:rsidP="00940B59">
      <w:pPr>
        <w:pStyle w:val="Heading4"/>
      </w:pPr>
      <w:bookmarkStart w:id="36" w:name="_Toc242516231"/>
      <w:bookmarkStart w:id="37" w:name="_Toc244499287"/>
      <w:r>
        <w:t>a.</w:t>
      </w:r>
      <w:r w:rsidR="00B6382E">
        <w:t xml:space="preserve">  </w:t>
      </w:r>
      <w:r w:rsidR="006F4B78">
        <w:tab/>
      </w:r>
      <w:r w:rsidRPr="008E7C8E">
        <w:t>Positions of the Parties</w:t>
      </w:r>
      <w:bookmarkEnd w:id="36"/>
      <w:bookmarkEnd w:id="37"/>
    </w:p>
    <w:p w:rsidR="008E7C8E" w:rsidRDefault="008E7C8E" w:rsidP="008E7C8E">
      <w:pPr>
        <w:spacing w:line="360" w:lineRule="auto"/>
        <w:ind w:firstLine="2880"/>
        <w:rPr>
          <w:sz w:val="26"/>
          <w:szCs w:val="26"/>
        </w:rPr>
      </w:pPr>
    </w:p>
    <w:p w:rsidR="0099030A" w:rsidRPr="009530CF" w:rsidRDefault="0099030A" w:rsidP="0099030A">
      <w:pPr>
        <w:spacing w:line="360" w:lineRule="auto"/>
        <w:ind w:firstLine="1440"/>
        <w:rPr>
          <w:sz w:val="26"/>
          <w:szCs w:val="26"/>
        </w:rPr>
      </w:pPr>
      <w:r w:rsidRPr="009530CF">
        <w:rPr>
          <w:sz w:val="26"/>
          <w:szCs w:val="26"/>
        </w:rPr>
        <w:t xml:space="preserve">The </w:t>
      </w:r>
      <w:r w:rsidR="00FF39A3">
        <w:rPr>
          <w:sz w:val="26"/>
          <w:szCs w:val="26"/>
        </w:rPr>
        <w:t xml:space="preserve">Plans of </w:t>
      </w:r>
      <w:r w:rsidRPr="009530CF">
        <w:rPr>
          <w:sz w:val="26"/>
          <w:szCs w:val="26"/>
        </w:rPr>
        <w:t>Met</w:t>
      </w:r>
      <w:r w:rsidR="00FD03CF">
        <w:rPr>
          <w:sz w:val="26"/>
          <w:szCs w:val="26"/>
        </w:rPr>
        <w:t xml:space="preserve"> </w:t>
      </w:r>
      <w:r w:rsidRPr="009530CF">
        <w:rPr>
          <w:sz w:val="26"/>
          <w:szCs w:val="26"/>
        </w:rPr>
        <w:t>Ed, Penelec and Penn Power project peak demand savings of 126.6 MW, 110.7 MW and 46.0 MW</w:t>
      </w:r>
      <w:r w:rsidR="00314A85">
        <w:rPr>
          <w:sz w:val="26"/>
          <w:szCs w:val="26"/>
        </w:rPr>
        <w:t>,</w:t>
      </w:r>
      <w:r w:rsidRPr="009530CF">
        <w:rPr>
          <w:sz w:val="26"/>
          <w:szCs w:val="26"/>
        </w:rPr>
        <w:t xml:space="preserve"> respectively</w:t>
      </w:r>
      <w:r w:rsidR="00314A85">
        <w:rPr>
          <w:sz w:val="26"/>
          <w:szCs w:val="26"/>
        </w:rPr>
        <w:t>,</w:t>
      </w:r>
      <w:r w:rsidRPr="009530CF">
        <w:rPr>
          <w:sz w:val="26"/>
          <w:szCs w:val="26"/>
        </w:rPr>
        <w:t xml:space="preserve"> by May 31, 2013.  Met</w:t>
      </w:r>
      <w:r w:rsidR="00FD03CF">
        <w:rPr>
          <w:sz w:val="26"/>
          <w:szCs w:val="26"/>
        </w:rPr>
        <w:t xml:space="preserve"> </w:t>
      </w:r>
      <w:r w:rsidRPr="009530CF">
        <w:rPr>
          <w:sz w:val="26"/>
          <w:szCs w:val="26"/>
        </w:rPr>
        <w:t>Ed</w:t>
      </w:r>
      <w:r w:rsidR="00FF39A3">
        <w:rPr>
          <w:sz w:val="26"/>
          <w:szCs w:val="26"/>
        </w:rPr>
        <w:t xml:space="preserve">’s September 21, 2009 </w:t>
      </w:r>
      <w:r w:rsidRPr="009530CF">
        <w:rPr>
          <w:sz w:val="26"/>
          <w:szCs w:val="26"/>
        </w:rPr>
        <w:t>Plan</w:t>
      </w:r>
      <w:r w:rsidR="00FF39A3">
        <w:rPr>
          <w:sz w:val="26"/>
          <w:szCs w:val="26"/>
        </w:rPr>
        <w:t xml:space="preserve"> at</w:t>
      </w:r>
      <w:r w:rsidRPr="009530CF">
        <w:rPr>
          <w:sz w:val="26"/>
          <w:szCs w:val="26"/>
        </w:rPr>
        <w:t xml:space="preserve"> 20, Penelec</w:t>
      </w:r>
      <w:r w:rsidR="00FF39A3">
        <w:rPr>
          <w:sz w:val="26"/>
          <w:szCs w:val="26"/>
        </w:rPr>
        <w:t xml:space="preserve">’s September 21, 2009 </w:t>
      </w:r>
      <w:r w:rsidRPr="009530CF">
        <w:rPr>
          <w:sz w:val="26"/>
          <w:szCs w:val="26"/>
        </w:rPr>
        <w:t>Plan</w:t>
      </w:r>
      <w:r w:rsidR="00FF39A3">
        <w:rPr>
          <w:sz w:val="26"/>
          <w:szCs w:val="26"/>
        </w:rPr>
        <w:t xml:space="preserve"> at</w:t>
      </w:r>
      <w:r w:rsidRPr="009530CF">
        <w:rPr>
          <w:sz w:val="26"/>
          <w:szCs w:val="26"/>
        </w:rPr>
        <w:t xml:space="preserve"> 19, and Penn Power</w:t>
      </w:r>
      <w:r w:rsidR="00FF39A3">
        <w:rPr>
          <w:sz w:val="26"/>
          <w:szCs w:val="26"/>
        </w:rPr>
        <w:t xml:space="preserve">’s September 21, 2009 </w:t>
      </w:r>
      <w:r w:rsidRPr="009530CF">
        <w:rPr>
          <w:sz w:val="26"/>
          <w:szCs w:val="26"/>
        </w:rPr>
        <w:t>Plan</w:t>
      </w:r>
      <w:r w:rsidR="00FF39A3">
        <w:rPr>
          <w:sz w:val="26"/>
          <w:szCs w:val="26"/>
        </w:rPr>
        <w:t xml:space="preserve"> at</w:t>
      </w:r>
      <w:r w:rsidRPr="009530CF">
        <w:rPr>
          <w:sz w:val="26"/>
          <w:szCs w:val="26"/>
        </w:rPr>
        <w:t xml:space="preserve"> 19.</w:t>
      </w:r>
    </w:p>
    <w:p w:rsidR="0099030A" w:rsidRPr="009530CF" w:rsidRDefault="0099030A" w:rsidP="0099030A">
      <w:pPr>
        <w:spacing w:line="360" w:lineRule="auto"/>
        <w:ind w:firstLine="1440"/>
        <w:rPr>
          <w:sz w:val="26"/>
          <w:szCs w:val="26"/>
        </w:rPr>
      </w:pPr>
    </w:p>
    <w:p w:rsidR="0099030A" w:rsidRPr="009530CF" w:rsidRDefault="0099030A" w:rsidP="0099030A">
      <w:pPr>
        <w:spacing w:line="360" w:lineRule="auto"/>
        <w:ind w:firstLine="1440"/>
        <w:rPr>
          <w:sz w:val="26"/>
          <w:szCs w:val="26"/>
        </w:rPr>
      </w:pPr>
      <w:r w:rsidRPr="009530CF">
        <w:rPr>
          <w:sz w:val="26"/>
          <w:szCs w:val="26"/>
        </w:rPr>
        <w:t xml:space="preserve">No </w:t>
      </w:r>
      <w:r w:rsidR="000212DB">
        <w:rPr>
          <w:sz w:val="26"/>
          <w:szCs w:val="26"/>
        </w:rPr>
        <w:t>Parties</w:t>
      </w:r>
      <w:r w:rsidRPr="009530CF">
        <w:rPr>
          <w:sz w:val="26"/>
          <w:szCs w:val="26"/>
        </w:rPr>
        <w:t xml:space="preserve"> filed any objections to the </w:t>
      </w:r>
      <w:r w:rsidR="00B3130C">
        <w:rPr>
          <w:sz w:val="26"/>
          <w:szCs w:val="26"/>
        </w:rPr>
        <w:t xml:space="preserve">Companies’ </w:t>
      </w:r>
      <w:r w:rsidRPr="009530CF">
        <w:rPr>
          <w:sz w:val="26"/>
          <w:szCs w:val="26"/>
        </w:rPr>
        <w:t>conservation a</w:t>
      </w:r>
      <w:r w:rsidR="00B3130C">
        <w:rPr>
          <w:sz w:val="26"/>
          <w:szCs w:val="26"/>
        </w:rPr>
        <w:t>nd demand reduction projections</w:t>
      </w:r>
      <w:r w:rsidRPr="009530CF">
        <w:rPr>
          <w:sz w:val="26"/>
          <w:szCs w:val="26"/>
        </w:rPr>
        <w:t>.</w:t>
      </w:r>
    </w:p>
    <w:p w:rsidR="0099030A" w:rsidRDefault="0099030A" w:rsidP="008E7C8E">
      <w:pPr>
        <w:spacing w:line="360" w:lineRule="auto"/>
        <w:ind w:firstLine="2880"/>
        <w:rPr>
          <w:sz w:val="26"/>
          <w:szCs w:val="26"/>
        </w:rPr>
      </w:pPr>
    </w:p>
    <w:p w:rsidR="006C3886" w:rsidRDefault="006C3886" w:rsidP="008E7C8E">
      <w:pPr>
        <w:spacing w:line="360" w:lineRule="auto"/>
        <w:ind w:firstLine="2880"/>
        <w:rPr>
          <w:sz w:val="26"/>
          <w:szCs w:val="26"/>
        </w:rPr>
      </w:pPr>
    </w:p>
    <w:p w:rsidR="008E7C8E" w:rsidRPr="008E7C8E" w:rsidRDefault="008E7C8E" w:rsidP="00940B59">
      <w:pPr>
        <w:pStyle w:val="Heading4"/>
      </w:pPr>
      <w:bookmarkStart w:id="38" w:name="_Toc242516232"/>
      <w:bookmarkStart w:id="39" w:name="_Toc244499288"/>
      <w:r>
        <w:lastRenderedPageBreak/>
        <w:t>b.</w:t>
      </w:r>
      <w:r w:rsidR="00B6382E">
        <w:t xml:space="preserve">  </w:t>
      </w:r>
      <w:r w:rsidR="006F4B78">
        <w:tab/>
      </w:r>
      <w:r w:rsidRPr="008E7C8E">
        <w:t>Disposition</w:t>
      </w:r>
      <w:bookmarkEnd w:id="38"/>
      <w:bookmarkEnd w:id="39"/>
    </w:p>
    <w:p w:rsidR="0029321C" w:rsidRDefault="0029321C" w:rsidP="0029321C">
      <w:pPr>
        <w:spacing w:line="360" w:lineRule="auto"/>
        <w:ind w:firstLine="1440"/>
        <w:rPr>
          <w:sz w:val="26"/>
          <w:szCs w:val="26"/>
        </w:rPr>
      </w:pPr>
    </w:p>
    <w:p w:rsidR="009C0A33" w:rsidRPr="008D7524" w:rsidRDefault="004F1919" w:rsidP="009C0A33">
      <w:pPr>
        <w:spacing w:line="360" w:lineRule="auto"/>
        <w:ind w:firstLine="1440"/>
        <w:rPr>
          <w:sz w:val="26"/>
          <w:szCs w:val="26"/>
        </w:rPr>
      </w:pPr>
      <w:r w:rsidRPr="009530CF">
        <w:rPr>
          <w:sz w:val="26"/>
          <w:szCs w:val="26"/>
        </w:rPr>
        <w:t xml:space="preserve">We </w:t>
      </w:r>
      <w:r>
        <w:rPr>
          <w:sz w:val="26"/>
          <w:szCs w:val="26"/>
        </w:rPr>
        <w:t xml:space="preserve">find that the Plans project total energy savings that will meet or exceed </w:t>
      </w:r>
      <w:r w:rsidR="007908F2">
        <w:rPr>
          <w:sz w:val="26"/>
          <w:szCs w:val="26"/>
        </w:rPr>
        <w:t xml:space="preserve">the 4.5% </w:t>
      </w:r>
      <w:r w:rsidR="009C0A33">
        <w:rPr>
          <w:sz w:val="26"/>
          <w:szCs w:val="26"/>
        </w:rPr>
        <w:t xml:space="preserve">peak demand </w:t>
      </w:r>
      <w:r w:rsidR="007908F2">
        <w:rPr>
          <w:sz w:val="26"/>
          <w:szCs w:val="26"/>
        </w:rPr>
        <w:t xml:space="preserve">reduction target by September 30, 2012, as mandated by the Act and the </w:t>
      </w:r>
      <w:r w:rsidR="007908F2" w:rsidRPr="007908F2">
        <w:rPr>
          <w:i/>
          <w:sz w:val="26"/>
          <w:szCs w:val="26"/>
        </w:rPr>
        <w:t>Implementation</w:t>
      </w:r>
      <w:r w:rsidR="009C0A33" w:rsidRPr="007908F2">
        <w:rPr>
          <w:i/>
          <w:sz w:val="26"/>
          <w:szCs w:val="26"/>
        </w:rPr>
        <w:t xml:space="preserve"> Order</w:t>
      </w:r>
      <w:r w:rsidR="009C0A33" w:rsidRPr="009530CF">
        <w:rPr>
          <w:i/>
          <w:sz w:val="26"/>
          <w:szCs w:val="26"/>
        </w:rPr>
        <w:t>.</w:t>
      </w:r>
      <w:r w:rsidR="009C0A33">
        <w:rPr>
          <w:i/>
          <w:sz w:val="26"/>
          <w:szCs w:val="26"/>
        </w:rPr>
        <w:t xml:space="preserve">  </w:t>
      </w:r>
      <w:r w:rsidR="009C0A33">
        <w:rPr>
          <w:sz w:val="26"/>
          <w:szCs w:val="26"/>
        </w:rPr>
        <w:t xml:space="preserve">Nevertheless, for </w:t>
      </w:r>
      <w:r w:rsidR="003439C3">
        <w:rPr>
          <w:sz w:val="26"/>
          <w:szCs w:val="26"/>
        </w:rPr>
        <w:t xml:space="preserve">the </w:t>
      </w:r>
      <w:r w:rsidR="009C0A33">
        <w:rPr>
          <w:sz w:val="26"/>
          <w:szCs w:val="26"/>
        </w:rPr>
        <w:t xml:space="preserve">reasons set forth below, we will require the Companies to recalculate the projected energy savings and resubmit the Plans in accordance with this </w:t>
      </w:r>
      <w:r w:rsidR="003A5D24">
        <w:rPr>
          <w:sz w:val="26"/>
          <w:szCs w:val="26"/>
        </w:rPr>
        <w:t>Opinion and Order</w:t>
      </w:r>
      <w:r w:rsidR="009C0A33">
        <w:rPr>
          <w:sz w:val="26"/>
          <w:szCs w:val="26"/>
        </w:rPr>
        <w:t>.</w:t>
      </w:r>
    </w:p>
    <w:p w:rsidR="00B3130C" w:rsidRDefault="00B3130C" w:rsidP="0029321C">
      <w:pPr>
        <w:spacing w:line="360" w:lineRule="auto"/>
        <w:ind w:firstLine="1440"/>
        <w:rPr>
          <w:sz w:val="26"/>
          <w:szCs w:val="26"/>
        </w:rPr>
      </w:pPr>
    </w:p>
    <w:p w:rsidR="0029321C" w:rsidRPr="00FF0956" w:rsidRDefault="00B6382E" w:rsidP="00940B59">
      <w:pPr>
        <w:pStyle w:val="Heading3"/>
      </w:pPr>
      <w:bookmarkStart w:id="40" w:name="_Toc242516233"/>
      <w:bookmarkStart w:id="41" w:name="_Toc244499289"/>
      <w:r>
        <w:t xml:space="preserve">3.  </w:t>
      </w:r>
      <w:r w:rsidR="006F4B78">
        <w:tab/>
      </w:r>
      <w:r w:rsidR="0029321C" w:rsidRPr="00FF0956">
        <w:t>Requirements for a Variety of Programs Equitably Distributed</w:t>
      </w:r>
      <w:bookmarkEnd w:id="40"/>
      <w:bookmarkEnd w:id="41"/>
    </w:p>
    <w:p w:rsidR="004177CF" w:rsidRDefault="004177CF" w:rsidP="008E7C8E">
      <w:pPr>
        <w:spacing w:line="360" w:lineRule="auto"/>
        <w:ind w:firstLine="2160"/>
        <w:rPr>
          <w:b/>
          <w:sz w:val="26"/>
          <w:szCs w:val="26"/>
        </w:rPr>
      </w:pPr>
    </w:p>
    <w:p w:rsidR="007A2DD5" w:rsidRPr="009530CF" w:rsidRDefault="007A2DD5" w:rsidP="007A2DD5">
      <w:pPr>
        <w:autoSpaceDE w:val="0"/>
        <w:autoSpaceDN w:val="0"/>
        <w:adjustRightInd w:val="0"/>
        <w:spacing w:line="360" w:lineRule="auto"/>
        <w:ind w:firstLine="1440"/>
        <w:rPr>
          <w:sz w:val="26"/>
          <w:szCs w:val="26"/>
        </w:rPr>
      </w:pPr>
      <w:r w:rsidRPr="009530CF">
        <w:rPr>
          <w:sz w:val="26"/>
          <w:szCs w:val="26"/>
        </w:rPr>
        <w:t xml:space="preserve">The Commission’s EE&amp;C Program must include “standards to ensure that each plan includes a variety of energy efficiency and conservation measures and will provide the measures equitably to all classes of customers.”  66 Pa. C.S. </w:t>
      </w:r>
      <w:r w:rsidRPr="009530CF">
        <w:rPr>
          <w:sz w:val="26"/>
          <w:szCs w:val="26"/>
        </w:rPr>
        <w:br/>
        <w:t xml:space="preserve">§ 2806.1(a)(5).  Each EDC is required to demonstrate that its plan “provides a diverse cross section of alternatives for customers of all rate classes.”  </w:t>
      </w:r>
      <w:r>
        <w:rPr>
          <w:sz w:val="26"/>
          <w:szCs w:val="26"/>
        </w:rPr>
        <w:t xml:space="preserve">66 Pa. C.S. </w:t>
      </w:r>
      <w:r>
        <w:rPr>
          <w:sz w:val="26"/>
          <w:szCs w:val="26"/>
        </w:rPr>
        <w:br/>
        <w:t>§ 2806.1(b)(1)(i)(I</w:t>
      </w:r>
      <w:r w:rsidRPr="009530CF">
        <w:rPr>
          <w:sz w:val="26"/>
          <w:szCs w:val="26"/>
        </w:rPr>
        <w:t xml:space="preserve">). </w:t>
      </w:r>
    </w:p>
    <w:p w:rsidR="007A2DD5" w:rsidRPr="009530CF" w:rsidRDefault="007A2DD5" w:rsidP="007A2DD5">
      <w:pPr>
        <w:autoSpaceDE w:val="0"/>
        <w:autoSpaceDN w:val="0"/>
        <w:adjustRightInd w:val="0"/>
        <w:spacing w:line="360" w:lineRule="auto"/>
        <w:ind w:firstLine="1440"/>
        <w:jc w:val="both"/>
        <w:rPr>
          <w:sz w:val="26"/>
          <w:szCs w:val="26"/>
        </w:rPr>
      </w:pPr>
    </w:p>
    <w:p w:rsidR="008E7C8E" w:rsidRPr="008E7C8E" w:rsidRDefault="008E7C8E" w:rsidP="00940B59">
      <w:pPr>
        <w:pStyle w:val="Heading4"/>
      </w:pPr>
      <w:bookmarkStart w:id="42" w:name="_Toc242516234"/>
      <w:bookmarkStart w:id="43" w:name="_Toc244499290"/>
      <w:r>
        <w:t>a.</w:t>
      </w:r>
      <w:r w:rsidR="00B6382E">
        <w:t xml:space="preserve">  </w:t>
      </w:r>
      <w:r w:rsidR="006F4B78">
        <w:tab/>
      </w:r>
      <w:r w:rsidRPr="008E7C8E">
        <w:t>Positions of the Parties</w:t>
      </w:r>
      <w:bookmarkEnd w:id="42"/>
      <w:bookmarkEnd w:id="43"/>
    </w:p>
    <w:p w:rsidR="008E7C8E" w:rsidRDefault="008E7C8E" w:rsidP="008E7C8E">
      <w:pPr>
        <w:spacing w:line="360" w:lineRule="auto"/>
        <w:ind w:firstLine="2880"/>
        <w:rPr>
          <w:sz w:val="26"/>
          <w:szCs w:val="26"/>
        </w:rPr>
      </w:pPr>
    </w:p>
    <w:p w:rsidR="000A3BBC" w:rsidRDefault="000A3BBC" w:rsidP="000A3BBC">
      <w:pPr>
        <w:spacing w:line="360" w:lineRule="auto"/>
        <w:ind w:firstLine="2160"/>
        <w:rPr>
          <w:sz w:val="26"/>
          <w:szCs w:val="26"/>
        </w:rPr>
      </w:pPr>
      <w:r w:rsidRPr="009530CF">
        <w:rPr>
          <w:sz w:val="26"/>
        </w:rPr>
        <w:t xml:space="preserve">The Companies’ </w:t>
      </w:r>
      <w:r>
        <w:rPr>
          <w:sz w:val="26"/>
        </w:rPr>
        <w:t>Plans contain nineteen</w:t>
      </w:r>
      <w:r w:rsidRPr="009530CF">
        <w:rPr>
          <w:sz w:val="26"/>
        </w:rPr>
        <w:t xml:space="preserve"> different programs </w:t>
      </w:r>
      <w:r>
        <w:rPr>
          <w:sz w:val="26"/>
        </w:rPr>
        <w:t xml:space="preserve">distributed across all </w:t>
      </w:r>
      <w:r w:rsidRPr="009530CF">
        <w:rPr>
          <w:sz w:val="26"/>
        </w:rPr>
        <w:t xml:space="preserve">customer classes.  The Companies </w:t>
      </w:r>
      <w:r w:rsidR="00892629">
        <w:rPr>
          <w:sz w:val="26"/>
        </w:rPr>
        <w:t xml:space="preserve">assert that they </w:t>
      </w:r>
      <w:r w:rsidRPr="009530CF">
        <w:rPr>
          <w:sz w:val="26"/>
        </w:rPr>
        <w:t xml:space="preserve">have provided at least one energy efficiency program and one demand response program for each class in accordance with the Commission’s </w:t>
      </w:r>
      <w:r w:rsidRPr="007A2DD5">
        <w:rPr>
          <w:i/>
          <w:sz w:val="26"/>
        </w:rPr>
        <w:t>Implementation Order</w:t>
      </w:r>
      <w:r w:rsidRPr="009530CF">
        <w:rPr>
          <w:sz w:val="26"/>
        </w:rPr>
        <w:t xml:space="preserve">, and in fact, they offer multiple programs for each customer class, with the exception of </w:t>
      </w:r>
      <w:r w:rsidR="003A49E6">
        <w:rPr>
          <w:sz w:val="26"/>
        </w:rPr>
        <w:t>low-income</w:t>
      </w:r>
      <w:r w:rsidRPr="009530CF">
        <w:rPr>
          <w:sz w:val="26"/>
        </w:rPr>
        <w:t xml:space="preserve"> customers as discussed below.  </w:t>
      </w:r>
      <w:r w:rsidRPr="009530CF">
        <w:rPr>
          <w:i/>
          <w:sz w:val="26"/>
        </w:rPr>
        <w:t>See</w:t>
      </w:r>
      <w:r w:rsidRPr="009530CF">
        <w:rPr>
          <w:sz w:val="26"/>
        </w:rPr>
        <w:t xml:space="preserve"> FirstEnergy</w:t>
      </w:r>
      <w:r>
        <w:rPr>
          <w:sz w:val="26"/>
        </w:rPr>
        <w:t xml:space="preserve">’s September 21, 2009 </w:t>
      </w:r>
      <w:r>
        <w:rPr>
          <w:sz w:val="26"/>
          <w:szCs w:val="26"/>
        </w:rPr>
        <w:t>Plans at</w:t>
      </w:r>
      <w:r w:rsidRPr="009530CF">
        <w:rPr>
          <w:sz w:val="26"/>
          <w:szCs w:val="26"/>
        </w:rPr>
        <w:t xml:space="preserve"> Tables 4a, b and c.    </w:t>
      </w:r>
    </w:p>
    <w:p w:rsidR="000A3BBC" w:rsidRDefault="000A3BBC" w:rsidP="000A3BBC">
      <w:pPr>
        <w:spacing w:line="360" w:lineRule="auto"/>
        <w:ind w:firstLine="2160"/>
        <w:rPr>
          <w:sz w:val="26"/>
          <w:szCs w:val="26"/>
        </w:rPr>
      </w:pPr>
    </w:p>
    <w:p w:rsidR="000A3BBC" w:rsidRDefault="000A3BBC" w:rsidP="000A3BBC">
      <w:pPr>
        <w:autoSpaceDE w:val="0"/>
        <w:autoSpaceDN w:val="0"/>
        <w:adjustRightInd w:val="0"/>
        <w:spacing w:line="360" w:lineRule="auto"/>
        <w:ind w:firstLine="1440"/>
        <w:rPr>
          <w:sz w:val="26"/>
          <w:szCs w:val="26"/>
        </w:rPr>
      </w:pPr>
      <w:r w:rsidRPr="009530CF">
        <w:rPr>
          <w:sz w:val="26"/>
          <w:szCs w:val="26"/>
        </w:rPr>
        <w:t>The OCA reviewed the required Budget and Parity Analysis found in</w:t>
      </w:r>
      <w:r w:rsidR="007B7F67">
        <w:rPr>
          <w:sz w:val="26"/>
          <w:szCs w:val="26"/>
        </w:rPr>
        <w:t xml:space="preserve"> PUC Table 5 of the </w:t>
      </w:r>
      <w:r w:rsidRPr="009530CF">
        <w:rPr>
          <w:sz w:val="26"/>
          <w:szCs w:val="26"/>
        </w:rPr>
        <w:t>Companies’</w:t>
      </w:r>
      <w:r w:rsidR="007B7F67">
        <w:rPr>
          <w:sz w:val="26"/>
          <w:szCs w:val="26"/>
        </w:rPr>
        <w:t xml:space="preserve"> P</w:t>
      </w:r>
      <w:r w:rsidRPr="009530CF">
        <w:rPr>
          <w:sz w:val="26"/>
          <w:szCs w:val="26"/>
        </w:rPr>
        <w:t xml:space="preserve">lans and the information following PUC Table 5 in evaluating whether the portfolio proposed by the Companies achieved a reasonable and </w:t>
      </w:r>
      <w:r w:rsidRPr="009530CF">
        <w:rPr>
          <w:sz w:val="26"/>
          <w:szCs w:val="26"/>
        </w:rPr>
        <w:lastRenderedPageBreak/>
        <w:t>eq</w:t>
      </w:r>
      <w:r w:rsidR="007B7F67">
        <w:rPr>
          <w:sz w:val="26"/>
          <w:szCs w:val="26"/>
        </w:rPr>
        <w:t>uitable balance</w:t>
      </w:r>
      <w:r w:rsidRPr="009530CF">
        <w:rPr>
          <w:sz w:val="26"/>
          <w:szCs w:val="26"/>
        </w:rPr>
        <w:t>.  The OCA conducted this review keeping in mind the specific requirements of th</w:t>
      </w:r>
      <w:r w:rsidR="007B7F67">
        <w:rPr>
          <w:sz w:val="26"/>
          <w:szCs w:val="26"/>
        </w:rPr>
        <w:t xml:space="preserve">e Act for </w:t>
      </w:r>
      <w:r w:rsidR="003A49E6">
        <w:rPr>
          <w:sz w:val="26"/>
          <w:szCs w:val="26"/>
        </w:rPr>
        <w:t>low-income</w:t>
      </w:r>
      <w:r w:rsidR="007B7F67">
        <w:rPr>
          <w:sz w:val="26"/>
          <w:szCs w:val="26"/>
        </w:rPr>
        <w:t xml:space="preserve"> customers and</w:t>
      </w:r>
      <w:r w:rsidRPr="009530CF">
        <w:rPr>
          <w:sz w:val="26"/>
          <w:szCs w:val="26"/>
        </w:rPr>
        <w:t xml:space="preserve"> government/non-profit </w:t>
      </w:r>
      <w:r w:rsidR="007B7F67">
        <w:rPr>
          <w:sz w:val="26"/>
          <w:szCs w:val="26"/>
        </w:rPr>
        <w:t xml:space="preserve">customers, as well as the requirement in the Act </w:t>
      </w:r>
      <w:r w:rsidRPr="009530CF">
        <w:rPr>
          <w:sz w:val="26"/>
          <w:szCs w:val="26"/>
        </w:rPr>
        <w:t xml:space="preserve">for the Plans to be cost-effective under the TRC Test.  The OCA compiled information from the Companies’ </w:t>
      </w:r>
      <w:r w:rsidR="007C1822">
        <w:rPr>
          <w:sz w:val="26"/>
          <w:szCs w:val="26"/>
        </w:rPr>
        <w:t xml:space="preserve">Initial </w:t>
      </w:r>
      <w:r w:rsidRPr="009530CF">
        <w:rPr>
          <w:sz w:val="26"/>
          <w:szCs w:val="26"/>
        </w:rPr>
        <w:t xml:space="preserve">Plans for spending, revenues and consumption by class for each Company.  </w:t>
      </w:r>
      <w:r w:rsidR="002E3B7F">
        <w:rPr>
          <w:sz w:val="26"/>
          <w:szCs w:val="26"/>
        </w:rPr>
        <w:t>OCA MB at 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
        <w:gridCol w:w="1575"/>
        <w:gridCol w:w="336"/>
        <w:gridCol w:w="465"/>
        <w:gridCol w:w="792"/>
        <w:gridCol w:w="655"/>
        <w:gridCol w:w="938"/>
        <w:gridCol w:w="9"/>
        <w:gridCol w:w="964"/>
        <w:gridCol w:w="620"/>
        <w:gridCol w:w="810"/>
        <w:gridCol w:w="482"/>
        <w:gridCol w:w="301"/>
        <w:gridCol w:w="1593"/>
        <w:gridCol w:w="18"/>
      </w:tblGrid>
      <w:tr w:rsidR="00892629" w:rsidRPr="009530CF" w:rsidTr="004D7103">
        <w:trPr>
          <w:gridAfter w:val="1"/>
          <w:wAfter w:w="18" w:type="dxa"/>
        </w:trPr>
        <w:tc>
          <w:tcPr>
            <w:tcW w:w="9558" w:type="dxa"/>
            <w:gridSpan w:val="14"/>
            <w:tcBorders>
              <w:top w:val="single" w:sz="4" w:space="0" w:color="000000"/>
              <w:left w:val="single" w:sz="4" w:space="0" w:color="000000"/>
              <w:bottom w:val="single" w:sz="4" w:space="0" w:color="000000"/>
              <w:right w:val="single" w:sz="4" w:space="0" w:color="000000"/>
            </w:tcBorders>
          </w:tcPr>
          <w:p w:rsidR="00892629" w:rsidRPr="009530CF" w:rsidRDefault="00575E74" w:rsidP="004D7103">
            <w:pPr>
              <w:pBdr>
                <w:top w:val="single" w:sz="4" w:space="1" w:color="auto"/>
                <w:left w:val="single" w:sz="4" w:space="4" w:color="auto"/>
                <w:bottom w:val="single" w:sz="4" w:space="1" w:color="auto"/>
                <w:right w:val="single" w:sz="4" w:space="4" w:color="auto"/>
              </w:pBdr>
              <w:shd w:val="clear" w:color="auto" w:fill="C0C0C0"/>
              <w:jc w:val="center"/>
              <w:rPr>
                <w:b/>
                <w:u w:val="single"/>
              </w:rPr>
            </w:pPr>
            <w:r>
              <w:rPr>
                <w:sz w:val="26"/>
                <w:szCs w:val="26"/>
              </w:rPr>
              <w:br w:type="page"/>
            </w:r>
            <w:r w:rsidR="00892629" w:rsidRPr="009530CF">
              <w:rPr>
                <w:b/>
                <w:u w:val="single"/>
              </w:rPr>
              <w:t>MET-ED</w:t>
            </w:r>
          </w:p>
          <w:p w:rsidR="00892629" w:rsidRPr="009530CF" w:rsidRDefault="00892629" w:rsidP="004D7103">
            <w:pPr>
              <w:pBdr>
                <w:top w:val="single" w:sz="4" w:space="1" w:color="auto"/>
                <w:left w:val="single" w:sz="4" w:space="4" w:color="auto"/>
                <w:bottom w:val="single" w:sz="4" w:space="1" w:color="auto"/>
                <w:right w:val="single" w:sz="4" w:space="4" w:color="auto"/>
              </w:pBdr>
              <w:shd w:val="clear" w:color="auto" w:fill="C0C0C0"/>
              <w:jc w:val="both"/>
              <w:rPr>
                <w:b/>
                <w:u w:val="single"/>
              </w:rPr>
            </w:pPr>
          </w:p>
          <w:p w:rsidR="00892629" w:rsidRPr="009530CF" w:rsidRDefault="00892629" w:rsidP="004D7103">
            <w:pPr>
              <w:pBdr>
                <w:top w:val="single" w:sz="4" w:space="1" w:color="auto"/>
                <w:left w:val="single" w:sz="4" w:space="4" w:color="auto"/>
                <w:bottom w:val="single" w:sz="4" w:space="1" w:color="auto"/>
                <w:right w:val="single" w:sz="4" w:space="4" w:color="auto"/>
              </w:pBdr>
              <w:shd w:val="clear" w:color="auto" w:fill="C0C0C0"/>
              <w:jc w:val="both"/>
            </w:pPr>
            <w:r w:rsidRPr="009530CF">
              <w:rPr>
                <w:b/>
                <w:u w:val="single"/>
              </w:rPr>
              <w:t>Plan Spending As Compared To Revenues By Class</w:t>
            </w:r>
          </w:p>
        </w:tc>
      </w:tr>
      <w:tr w:rsidR="00892629" w:rsidRPr="009530CF" w:rsidTr="004D7103">
        <w:trPr>
          <w:gridAfter w:val="1"/>
          <w:wAfter w:w="18" w:type="dxa"/>
        </w:trPr>
        <w:tc>
          <w:tcPr>
            <w:tcW w:w="1593" w:type="dxa"/>
            <w:gridSpan w:val="2"/>
            <w:tcBorders>
              <w:top w:val="single" w:sz="4" w:space="0" w:color="000000"/>
              <w:left w:val="single" w:sz="4" w:space="0" w:color="000000"/>
              <w:bottom w:val="single" w:sz="4" w:space="0" w:color="000000"/>
              <w:right w:val="single" w:sz="4" w:space="0" w:color="000000"/>
            </w:tcBorders>
          </w:tcPr>
          <w:p w:rsidR="00892629" w:rsidRPr="009530CF" w:rsidRDefault="00892629" w:rsidP="004D7103">
            <w:pPr>
              <w:jc w:val="both"/>
            </w:pP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Revenue by Class</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Class Revenue % of Total</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EE&amp;C Plan Budget</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Increase in Spending</w:t>
            </w:r>
          </w:p>
        </w:tc>
        <w:tc>
          <w:tcPr>
            <w:tcW w:w="1593"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 of Total Plan</w:t>
            </w:r>
          </w:p>
        </w:tc>
      </w:tr>
      <w:tr w:rsidR="00892629" w:rsidRPr="009530CF" w:rsidTr="004D7103">
        <w:trPr>
          <w:gridAfter w:val="1"/>
          <w:wAfter w:w="18" w:type="dxa"/>
        </w:trPr>
        <w:tc>
          <w:tcPr>
            <w:tcW w:w="1593"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Residential</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543,000,000</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43.7%</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16,917,339</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3.1%</w:t>
            </w:r>
          </w:p>
        </w:tc>
        <w:tc>
          <w:tcPr>
            <w:tcW w:w="1593"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70.2%</w:t>
            </w:r>
          </w:p>
        </w:tc>
      </w:tr>
      <w:tr w:rsidR="00892629" w:rsidRPr="009530CF" w:rsidTr="004D7103">
        <w:trPr>
          <w:gridAfter w:val="1"/>
          <w:wAfter w:w="18" w:type="dxa"/>
        </w:trPr>
        <w:tc>
          <w:tcPr>
            <w:tcW w:w="1593"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Commercial</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293,000,000</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23.6%</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2,991,204</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w:t>
            </w:r>
          </w:p>
        </w:tc>
        <w:tc>
          <w:tcPr>
            <w:tcW w:w="1593"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18.8%</w:t>
            </w:r>
          </w:p>
        </w:tc>
      </w:tr>
      <w:tr w:rsidR="00892629" w:rsidRPr="009530CF" w:rsidTr="004D7103">
        <w:trPr>
          <w:gridAfter w:val="1"/>
          <w:wAfter w:w="18" w:type="dxa"/>
        </w:trPr>
        <w:tc>
          <w:tcPr>
            <w:tcW w:w="1593"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Industrial</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406,000,000</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32.7%</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1,300,046</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0.3%</w:t>
            </w:r>
          </w:p>
        </w:tc>
        <w:tc>
          <w:tcPr>
            <w:tcW w:w="1593"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11.0%</w:t>
            </w:r>
          </w:p>
        </w:tc>
      </w:tr>
      <w:tr w:rsidR="00892629" w:rsidRPr="009530CF" w:rsidTr="004D7103">
        <w:trPr>
          <w:gridBefore w:val="1"/>
          <w:wBefore w:w="18" w:type="dxa"/>
        </w:trPr>
        <w:tc>
          <w:tcPr>
            <w:tcW w:w="9558" w:type="dxa"/>
            <w:gridSpan w:val="14"/>
            <w:tcBorders>
              <w:top w:val="single" w:sz="4" w:space="0" w:color="000000"/>
              <w:left w:val="single" w:sz="4" w:space="0" w:color="000000"/>
              <w:bottom w:val="single" w:sz="4" w:space="0" w:color="000000"/>
              <w:right w:val="single" w:sz="4" w:space="0" w:color="000000"/>
            </w:tcBorders>
            <w:shd w:val="clear" w:color="auto" w:fill="C0C0C0"/>
          </w:tcPr>
          <w:p w:rsidR="00892629" w:rsidRPr="009530CF" w:rsidRDefault="00892629" w:rsidP="004D7103">
            <w:pPr>
              <w:rPr>
                <w:b/>
                <w:u w:val="single"/>
              </w:rPr>
            </w:pPr>
          </w:p>
          <w:p w:rsidR="00892629" w:rsidRPr="009530CF" w:rsidRDefault="00892629" w:rsidP="004D7103">
            <w:r w:rsidRPr="009530CF">
              <w:rPr>
                <w:b/>
                <w:u w:val="single"/>
              </w:rPr>
              <w:t>Consumption Reduction By Class</w:t>
            </w:r>
          </w:p>
        </w:tc>
      </w:tr>
      <w:tr w:rsidR="00892629" w:rsidRPr="009530CF" w:rsidTr="004D7103">
        <w:trPr>
          <w:gridBefore w:val="1"/>
          <w:wBefore w:w="18" w:type="dxa"/>
        </w:trPr>
        <w:tc>
          <w:tcPr>
            <w:tcW w:w="1911" w:type="dxa"/>
            <w:gridSpan w:val="2"/>
            <w:tcBorders>
              <w:top w:val="single" w:sz="4" w:space="0" w:color="000000"/>
              <w:left w:val="single" w:sz="4" w:space="0" w:color="000000"/>
              <w:bottom w:val="single" w:sz="4" w:space="0" w:color="000000"/>
              <w:right w:val="single" w:sz="4" w:space="0" w:color="000000"/>
            </w:tcBorders>
          </w:tcPr>
          <w:p w:rsidR="00892629" w:rsidRPr="009530CF" w:rsidRDefault="00892629" w:rsidP="004D7103">
            <w:pPr>
              <w:jc w:val="both"/>
            </w:pPr>
          </w:p>
        </w:tc>
        <w:tc>
          <w:tcPr>
            <w:tcW w:w="1912"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mWh by class</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 of total usage</w:t>
            </w:r>
          </w:p>
        </w:tc>
        <w:tc>
          <w:tcPr>
            <w:tcW w:w="1912"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mWh saved per plan</w:t>
            </w:r>
          </w:p>
        </w:tc>
        <w:tc>
          <w:tcPr>
            <w:tcW w:w="1912"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r w:rsidRPr="009530CF">
              <w:t>% of Commission goal</w:t>
            </w:r>
          </w:p>
        </w:tc>
      </w:tr>
      <w:tr w:rsidR="00892629" w:rsidRPr="009530CF" w:rsidTr="004D7103">
        <w:trPr>
          <w:gridBefore w:val="1"/>
          <w:wBefore w:w="18" w:type="dxa"/>
        </w:trPr>
        <w:tc>
          <w:tcPr>
            <w:tcW w:w="1911"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Residential</w:t>
            </w:r>
          </w:p>
        </w:tc>
        <w:tc>
          <w:tcPr>
            <w:tcW w:w="1912" w:type="dxa"/>
            <w:gridSpan w:val="3"/>
            <w:tcBorders>
              <w:top w:val="single" w:sz="4" w:space="0" w:color="000000"/>
              <w:left w:val="single" w:sz="4" w:space="0" w:color="000000"/>
              <w:bottom w:val="single" w:sz="4" w:space="0" w:color="000000"/>
              <w:right w:val="single" w:sz="4" w:space="0" w:color="000000"/>
            </w:tcBorders>
            <w:vAlign w:val="bottom"/>
            <w:hideMark/>
          </w:tcPr>
          <w:p w:rsidR="00892629" w:rsidRPr="009530CF" w:rsidRDefault="00892629" w:rsidP="004D7103">
            <w:pPr>
              <w:jc w:val="both"/>
            </w:pPr>
            <w:r w:rsidRPr="009530CF">
              <w:t>5,255,025</w:t>
            </w:r>
          </w:p>
        </w:tc>
        <w:tc>
          <w:tcPr>
            <w:tcW w:w="1911" w:type="dxa"/>
            <w:gridSpan w:val="3"/>
            <w:tcBorders>
              <w:top w:val="single" w:sz="4" w:space="0" w:color="000000"/>
              <w:left w:val="single" w:sz="4" w:space="0" w:color="000000"/>
              <w:bottom w:val="single" w:sz="4" w:space="0" w:color="000000"/>
              <w:right w:val="single" w:sz="4" w:space="0" w:color="000000"/>
            </w:tcBorders>
            <w:vAlign w:val="bottom"/>
            <w:hideMark/>
          </w:tcPr>
          <w:p w:rsidR="00892629" w:rsidRPr="009530CF" w:rsidRDefault="00892629" w:rsidP="004D7103">
            <w:pPr>
              <w:jc w:val="both"/>
            </w:pPr>
            <w:r w:rsidRPr="009530CF">
              <w:t>38.2%</w:t>
            </w:r>
          </w:p>
        </w:tc>
        <w:tc>
          <w:tcPr>
            <w:tcW w:w="1912" w:type="dxa"/>
            <w:gridSpan w:val="3"/>
            <w:tcBorders>
              <w:top w:val="single" w:sz="4" w:space="0" w:color="000000"/>
              <w:left w:val="single" w:sz="4" w:space="0" w:color="000000"/>
              <w:bottom w:val="single" w:sz="4" w:space="0" w:color="000000"/>
              <w:right w:val="single" w:sz="4" w:space="0" w:color="000000"/>
            </w:tcBorders>
            <w:vAlign w:val="bottom"/>
            <w:hideMark/>
          </w:tcPr>
          <w:p w:rsidR="00892629" w:rsidRPr="009530CF" w:rsidRDefault="00892629" w:rsidP="004D7103">
            <w:pPr>
              <w:jc w:val="both"/>
            </w:pPr>
            <w:r w:rsidRPr="009530CF">
              <w:t>241,124</w:t>
            </w:r>
          </w:p>
        </w:tc>
        <w:tc>
          <w:tcPr>
            <w:tcW w:w="1912" w:type="dxa"/>
            <w:gridSpan w:val="3"/>
            <w:tcBorders>
              <w:top w:val="single" w:sz="4" w:space="0" w:color="000000"/>
              <w:left w:val="single" w:sz="4" w:space="0" w:color="000000"/>
              <w:bottom w:val="single" w:sz="4" w:space="0" w:color="000000"/>
              <w:right w:val="single" w:sz="4" w:space="0" w:color="000000"/>
            </w:tcBorders>
            <w:vAlign w:val="bottom"/>
            <w:hideMark/>
          </w:tcPr>
          <w:p w:rsidR="00892629" w:rsidRPr="009530CF" w:rsidRDefault="00892629" w:rsidP="004D7103">
            <w:pPr>
              <w:jc w:val="both"/>
            </w:pPr>
            <w:r w:rsidRPr="009530CF">
              <w:t>54.96%</w:t>
            </w:r>
          </w:p>
        </w:tc>
      </w:tr>
      <w:tr w:rsidR="00892629" w:rsidRPr="009530CF" w:rsidTr="004D7103">
        <w:trPr>
          <w:gridBefore w:val="1"/>
          <w:wBefore w:w="18" w:type="dxa"/>
        </w:trPr>
        <w:tc>
          <w:tcPr>
            <w:tcW w:w="1911"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Commercial</w:t>
            </w:r>
          </w:p>
        </w:tc>
        <w:tc>
          <w:tcPr>
            <w:tcW w:w="1912" w:type="dxa"/>
            <w:gridSpan w:val="3"/>
            <w:tcBorders>
              <w:top w:val="single" w:sz="4" w:space="0" w:color="000000"/>
              <w:left w:val="single" w:sz="4" w:space="0" w:color="000000"/>
              <w:bottom w:val="single" w:sz="4" w:space="0" w:color="000000"/>
              <w:right w:val="single" w:sz="4" w:space="0" w:color="000000"/>
            </w:tcBorders>
            <w:vAlign w:val="bottom"/>
            <w:hideMark/>
          </w:tcPr>
          <w:p w:rsidR="00892629" w:rsidRPr="009530CF" w:rsidRDefault="00892629" w:rsidP="004D7103">
            <w:pPr>
              <w:jc w:val="both"/>
            </w:pPr>
            <w:r w:rsidRPr="009530CF">
              <w:t>2,832,960</w:t>
            </w:r>
          </w:p>
        </w:tc>
        <w:tc>
          <w:tcPr>
            <w:tcW w:w="1911" w:type="dxa"/>
            <w:gridSpan w:val="3"/>
            <w:tcBorders>
              <w:top w:val="single" w:sz="4" w:space="0" w:color="000000"/>
              <w:left w:val="single" w:sz="4" w:space="0" w:color="000000"/>
              <w:bottom w:val="single" w:sz="4" w:space="0" w:color="000000"/>
              <w:right w:val="single" w:sz="4" w:space="0" w:color="000000"/>
            </w:tcBorders>
            <w:vAlign w:val="bottom"/>
            <w:hideMark/>
          </w:tcPr>
          <w:p w:rsidR="00892629" w:rsidRPr="009530CF" w:rsidRDefault="00892629" w:rsidP="004D7103">
            <w:pPr>
              <w:jc w:val="both"/>
            </w:pPr>
            <w:r w:rsidRPr="009530CF">
              <w:t>20.6%</w:t>
            </w:r>
          </w:p>
        </w:tc>
        <w:tc>
          <w:tcPr>
            <w:tcW w:w="1912" w:type="dxa"/>
            <w:gridSpan w:val="3"/>
            <w:tcBorders>
              <w:top w:val="single" w:sz="4" w:space="0" w:color="000000"/>
              <w:left w:val="single" w:sz="4" w:space="0" w:color="000000"/>
              <w:bottom w:val="single" w:sz="4" w:space="0" w:color="000000"/>
              <w:right w:val="single" w:sz="4" w:space="0" w:color="000000"/>
            </w:tcBorders>
            <w:vAlign w:val="bottom"/>
            <w:hideMark/>
          </w:tcPr>
          <w:p w:rsidR="00892629" w:rsidRPr="009530CF" w:rsidRDefault="00892629" w:rsidP="004D7103">
            <w:pPr>
              <w:jc w:val="both"/>
            </w:pPr>
            <w:r w:rsidRPr="009530CF">
              <w:t>172,306</w:t>
            </w:r>
          </w:p>
        </w:tc>
        <w:tc>
          <w:tcPr>
            <w:tcW w:w="1912" w:type="dxa"/>
            <w:gridSpan w:val="3"/>
            <w:tcBorders>
              <w:top w:val="single" w:sz="4" w:space="0" w:color="000000"/>
              <w:left w:val="single" w:sz="4" w:space="0" w:color="000000"/>
              <w:bottom w:val="single" w:sz="4" w:space="0" w:color="000000"/>
              <w:right w:val="single" w:sz="4" w:space="0" w:color="000000"/>
            </w:tcBorders>
            <w:vAlign w:val="bottom"/>
            <w:hideMark/>
          </w:tcPr>
          <w:p w:rsidR="00892629" w:rsidRPr="009530CF" w:rsidRDefault="00892629" w:rsidP="004D7103">
            <w:pPr>
              <w:jc w:val="both"/>
            </w:pPr>
            <w:r w:rsidRPr="009530CF">
              <w:t>39.27%</w:t>
            </w:r>
          </w:p>
        </w:tc>
      </w:tr>
      <w:tr w:rsidR="00892629" w:rsidRPr="009530CF" w:rsidTr="004D7103">
        <w:trPr>
          <w:gridBefore w:val="1"/>
          <w:wBefore w:w="18" w:type="dxa"/>
        </w:trPr>
        <w:tc>
          <w:tcPr>
            <w:tcW w:w="1911" w:type="dxa"/>
            <w:gridSpan w:val="2"/>
            <w:tcBorders>
              <w:top w:val="single" w:sz="4" w:space="0" w:color="000000"/>
              <w:left w:val="single" w:sz="4" w:space="0" w:color="000000"/>
              <w:bottom w:val="single" w:sz="4" w:space="0" w:color="auto"/>
              <w:right w:val="single" w:sz="4" w:space="0" w:color="000000"/>
            </w:tcBorders>
            <w:hideMark/>
          </w:tcPr>
          <w:p w:rsidR="00892629" w:rsidRPr="009530CF" w:rsidRDefault="00892629" w:rsidP="004D7103">
            <w:pPr>
              <w:jc w:val="both"/>
            </w:pPr>
            <w:r w:rsidRPr="009530CF">
              <w:t>Industrial</w:t>
            </w:r>
          </w:p>
        </w:tc>
        <w:tc>
          <w:tcPr>
            <w:tcW w:w="1912" w:type="dxa"/>
            <w:gridSpan w:val="3"/>
            <w:tcBorders>
              <w:top w:val="single" w:sz="4" w:space="0" w:color="000000"/>
              <w:left w:val="single" w:sz="4" w:space="0" w:color="000000"/>
              <w:bottom w:val="single" w:sz="4" w:space="0" w:color="auto"/>
              <w:right w:val="single" w:sz="4" w:space="0" w:color="000000"/>
            </w:tcBorders>
            <w:vAlign w:val="bottom"/>
            <w:hideMark/>
          </w:tcPr>
          <w:p w:rsidR="00892629" w:rsidRPr="009530CF" w:rsidRDefault="00892629" w:rsidP="004D7103">
            <w:pPr>
              <w:jc w:val="both"/>
            </w:pPr>
            <w:r w:rsidRPr="009530CF">
              <w:t>5,657,535</w:t>
            </w:r>
          </w:p>
        </w:tc>
        <w:tc>
          <w:tcPr>
            <w:tcW w:w="1911" w:type="dxa"/>
            <w:gridSpan w:val="3"/>
            <w:tcBorders>
              <w:top w:val="single" w:sz="4" w:space="0" w:color="000000"/>
              <w:left w:val="single" w:sz="4" w:space="0" w:color="000000"/>
              <w:bottom w:val="single" w:sz="4" w:space="0" w:color="auto"/>
              <w:right w:val="single" w:sz="4" w:space="0" w:color="000000"/>
            </w:tcBorders>
            <w:vAlign w:val="bottom"/>
            <w:hideMark/>
          </w:tcPr>
          <w:p w:rsidR="00892629" w:rsidRPr="009530CF" w:rsidRDefault="00892629" w:rsidP="004D7103">
            <w:pPr>
              <w:jc w:val="both"/>
            </w:pPr>
            <w:r w:rsidRPr="009530CF">
              <w:t>41.2%</w:t>
            </w:r>
          </w:p>
        </w:tc>
        <w:tc>
          <w:tcPr>
            <w:tcW w:w="1912" w:type="dxa"/>
            <w:gridSpan w:val="3"/>
            <w:tcBorders>
              <w:top w:val="single" w:sz="4" w:space="0" w:color="000000"/>
              <w:left w:val="single" w:sz="4" w:space="0" w:color="000000"/>
              <w:bottom w:val="single" w:sz="4" w:space="0" w:color="auto"/>
              <w:right w:val="single" w:sz="4" w:space="0" w:color="000000"/>
            </w:tcBorders>
            <w:vAlign w:val="bottom"/>
            <w:hideMark/>
          </w:tcPr>
          <w:p w:rsidR="00892629" w:rsidRPr="009530CF" w:rsidRDefault="00892629" w:rsidP="004D7103">
            <w:pPr>
              <w:jc w:val="both"/>
            </w:pPr>
            <w:r w:rsidRPr="009530CF">
              <w:t>31,548</w:t>
            </w:r>
          </w:p>
        </w:tc>
        <w:tc>
          <w:tcPr>
            <w:tcW w:w="1912" w:type="dxa"/>
            <w:gridSpan w:val="3"/>
            <w:tcBorders>
              <w:top w:val="single" w:sz="4" w:space="0" w:color="000000"/>
              <w:left w:val="single" w:sz="4" w:space="0" w:color="000000"/>
              <w:bottom w:val="single" w:sz="4" w:space="0" w:color="auto"/>
              <w:right w:val="single" w:sz="4" w:space="0" w:color="000000"/>
            </w:tcBorders>
            <w:vAlign w:val="bottom"/>
            <w:hideMark/>
          </w:tcPr>
          <w:p w:rsidR="00892629" w:rsidRPr="009530CF" w:rsidRDefault="00892629" w:rsidP="004D7103">
            <w:pPr>
              <w:jc w:val="both"/>
            </w:pPr>
            <w:r w:rsidRPr="009530CF">
              <w:t>7.19%</w:t>
            </w:r>
          </w:p>
        </w:tc>
      </w:tr>
      <w:tr w:rsidR="00892629" w:rsidRPr="009530CF" w:rsidTr="004D7103">
        <w:trPr>
          <w:gridBefore w:val="1"/>
          <w:wBefore w:w="18" w:type="dxa"/>
        </w:trPr>
        <w:tc>
          <w:tcPr>
            <w:tcW w:w="9558" w:type="dxa"/>
            <w:gridSpan w:val="14"/>
            <w:tcBorders>
              <w:top w:val="single" w:sz="4" w:space="0" w:color="auto"/>
              <w:left w:val="single" w:sz="4" w:space="0" w:color="auto"/>
              <w:bottom w:val="single" w:sz="4" w:space="0" w:color="auto"/>
              <w:right w:val="single" w:sz="4" w:space="0" w:color="auto"/>
            </w:tcBorders>
            <w:hideMark/>
          </w:tcPr>
          <w:p w:rsidR="00892629" w:rsidRPr="009530CF" w:rsidRDefault="00892629" w:rsidP="004D7103">
            <w:pPr>
              <w:shd w:val="clear" w:color="auto" w:fill="C0C0C0"/>
              <w:jc w:val="both"/>
            </w:pPr>
            <w:r w:rsidRPr="009530CF">
              <w:t xml:space="preserve">*For purposes of </w:t>
            </w:r>
            <w:r w:rsidR="002D160D">
              <w:t>this chart, all of the government/non-</w:t>
            </w:r>
            <w:r w:rsidRPr="009530CF">
              <w:t>profit consumption reductions have been attributed to the Commercial class</w:t>
            </w:r>
            <w:r w:rsidR="002D160D">
              <w:t>.</w:t>
            </w:r>
          </w:p>
          <w:p w:rsidR="00892629" w:rsidRPr="009530CF" w:rsidRDefault="00892629" w:rsidP="0086719F">
            <w:pPr>
              <w:shd w:val="clear" w:color="auto" w:fill="C0C0C0"/>
              <w:jc w:val="both"/>
            </w:pPr>
            <w:r w:rsidRPr="009530CF">
              <w:rPr>
                <w:u w:val="single"/>
              </w:rPr>
              <w:t>See</w:t>
            </w:r>
            <w:r w:rsidRPr="009530CF">
              <w:t xml:space="preserve"> Met-Ed</w:t>
            </w:r>
            <w:r w:rsidR="0086719F">
              <w:t xml:space="preserve">’s Initial </w:t>
            </w:r>
            <w:r w:rsidRPr="009530CF">
              <w:t xml:space="preserve">Plan at PUC Table 5; PUC Table 2; </w:t>
            </w:r>
            <w:r w:rsidR="007D314C">
              <w:t>FirstEnergy</w:t>
            </w:r>
            <w:r w:rsidR="002E3B7F">
              <w:t xml:space="preserve"> </w:t>
            </w:r>
            <w:r w:rsidRPr="009530CF">
              <w:t xml:space="preserve">St. 3, Exh. 4, page 3. </w:t>
            </w:r>
            <w:r w:rsidRPr="009530CF">
              <w:rPr>
                <w:u w:val="single"/>
              </w:rPr>
              <w:t>See</w:t>
            </w:r>
            <w:r w:rsidRPr="009530CF">
              <w:t xml:space="preserve"> </w:t>
            </w:r>
            <w:r w:rsidRPr="009530CF">
              <w:rPr>
                <w:u w:val="single"/>
              </w:rPr>
              <w:t>also</w:t>
            </w:r>
            <w:r w:rsidRPr="009530CF">
              <w:t xml:space="preserve"> FirstEnergy Petition at 12.</w:t>
            </w:r>
          </w:p>
        </w:tc>
      </w:tr>
      <w:tr w:rsidR="00892629" w:rsidRPr="009530CF" w:rsidTr="004D7103">
        <w:tc>
          <w:tcPr>
            <w:tcW w:w="9576" w:type="dxa"/>
            <w:gridSpan w:val="15"/>
            <w:tcBorders>
              <w:top w:val="single" w:sz="4" w:space="0" w:color="auto"/>
              <w:left w:val="single" w:sz="4" w:space="0" w:color="auto"/>
              <w:bottom w:val="single" w:sz="4" w:space="0" w:color="auto"/>
              <w:right w:val="single" w:sz="4" w:space="0" w:color="auto"/>
            </w:tcBorders>
          </w:tcPr>
          <w:p w:rsidR="00892629" w:rsidRPr="009530CF" w:rsidRDefault="00892629" w:rsidP="004D7103">
            <w:pPr>
              <w:shd w:val="clear" w:color="auto" w:fill="C0C0C0"/>
              <w:jc w:val="both"/>
              <w:rPr>
                <w:b/>
                <w:u w:val="single"/>
              </w:rPr>
            </w:pPr>
          </w:p>
          <w:p w:rsidR="00892629" w:rsidRPr="009530CF" w:rsidRDefault="00892629" w:rsidP="004D7103">
            <w:pPr>
              <w:shd w:val="clear" w:color="auto" w:fill="C0C0C0"/>
              <w:jc w:val="both"/>
            </w:pPr>
            <w:r w:rsidRPr="009530CF">
              <w:rPr>
                <w:b/>
                <w:u w:val="single"/>
              </w:rPr>
              <w:t>Total Bill Impact Of Proposed EEC-C</w:t>
            </w:r>
          </w:p>
        </w:tc>
      </w:tr>
      <w:tr w:rsidR="00892629" w:rsidRPr="009530CF" w:rsidTr="004D7103">
        <w:tc>
          <w:tcPr>
            <w:tcW w:w="2394" w:type="dxa"/>
            <w:gridSpan w:val="4"/>
            <w:tcBorders>
              <w:top w:val="single" w:sz="4" w:space="0" w:color="000000"/>
              <w:left w:val="single" w:sz="4" w:space="0" w:color="000000"/>
              <w:bottom w:val="single" w:sz="4" w:space="0" w:color="000000"/>
              <w:right w:val="single" w:sz="4" w:space="0" w:color="000000"/>
            </w:tcBorders>
          </w:tcPr>
          <w:p w:rsidR="00892629" w:rsidRPr="009530CF" w:rsidRDefault="00892629" w:rsidP="004D7103">
            <w:pPr>
              <w:shd w:val="clear" w:color="auto" w:fill="FFFFFF"/>
              <w:jc w:val="both"/>
            </w:pP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Average kWh Usage</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Dollar Increase</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 Increase Total Bill</w:t>
            </w:r>
          </w:p>
        </w:tc>
      </w:tr>
      <w:tr w:rsidR="00892629" w:rsidRPr="009530CF" w:rsidTr="004D7103">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RS</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910</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3.21</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2.95%</w:t>
            </w:r>
          </w:p>
        </w:tc>
      </w:tr>
      <w:tr w:rsidR="00892629" w:rsidRPr="009530CF" w:rsidTr="004D7103">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GSVF (volunteer fire)</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3290</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11.60</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3.12%</w:t>
            </w:r>
          </w:p>
        </w:tc>
      </w:tr>
      <w:tr w:rsidR="00892629" w:rsidRPr="009530CF" w:rsidTr="004D7103">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GS-S</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470</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0.89</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1.55%</w:t>
            </w:r>
          </w:p>
        </w:tc>
      </w:tr>
      <w:tr w:rsidR="00892629" w:rsidRPr="009530CF" w:rsidTr="004D7103">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GS-M</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8400</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15.87</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1.99%</w:t>
            </w:r>
          </w:p>
        </w:tc>
      </w:tr>
      <w:tr w:rsidR="00892629" w:rsidRPr="009530CF" w:rsidTr="004D7103">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GP</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520000</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233.81</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0.56%</w:t>
            </w:r>
          </w:p>
        </w:tc>
      </w:tr>
      <w:tr w:rsidR="00892629" w:rsidRPr="009530CF" w:rsidTr="004D7103">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TP</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6050000</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2720.32</w:t>
            </w:r>
          </w:p>
        </w:tc>
        <w:tc>
          <w:tcPr>
            <w:tcW w:w="2394" w:type="dxa"/>
            <w:gridSpan w:val="4"/>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0.58%</w:t>
            </w:r>
          </w:p>
        </w:tc>
      </w:tr>
    </w:tbl>
    <w:p w:rsidR="00892629" w:rsidRPr="009530CF" w:rsidRDefault="00892629" w:rsidP="00892629">
      <w:pPr>
        <w:pBdr>
          <w:top w:val="single" w:sz="4" w:space="1" w:color="auto"/>
          <w:left w:val="single" w:sz="4" w:space="4" w:color="auto"/>
          <w:bottom w:val="single" w:sz="4" w:space="1" w:color="auto"/>
          <w:right w:val="single" w:sz="4" w:space="4" w:color="auto"/>
        </w:pBdr>
        <w:shd w:val="clear" w:color="auto" w:fill="C0C0C0"/>
        <w:jc w:val="both"/>
      </w:pPr>
      <w:r w:rsidRPr="009530CF">
        <w:rPr>
          <w:u w:val="single"/>
        </w:rPr>
        <w:t>See</w:t>
      </w:r>
      <w:r w:rsidRPr="009530CF">
        <w:t xml:space="preserve"> OCA St. 1 at 41; OCA Cross Exam Exh. 1.</w:t>
      </w:r>
      <w:r w:rsidRPr="009530CF">
        <w:rPr>
          <w:rStyle w:val="FootnoteReference"/>
        </w:rPr>
        <w:footnoteReference w:id="22"/>
      </w:r>
    </w:p>
    <w:p w:rsidR="00892629" w:rsidRDefault="00892629" w:rsidP="00731FF7">
      <w:pPr>
        <w:autoSpaceDE w:val="0"/>
        <w:autoSpaceDN w:val="0"/>
        <w:adjustRightInd w:val="0"/>
        <w:spacing w:line="360" w:lineRule="auto"/>
        <w:ind w:firstLine="1440"/>
        <w:rPr>
          <w:sz w:val="26"/>
          <w:szCs w:val="26"/>
          <w:u w:val="single"/>
        </w:rPr>
      </w:pPr>
      <w:r w:rsidRPr="009530CF">
        <w:rPr>
          <w:sz w:val="26"/>
        </w:rPr>
        <w:lastRenderedPageBreak/>
        <w:t xml:space="preserve">For Met-Ed, as the above tables illustrate, over </w:t>
      </w:r>
      <w:r w:rsidR="005C42A9">
        <w:rPr>
          <w:sz w:val="26"/>
        </w:rPr>
        <w:t>70%</w:t>
      </w:r>
      <w:r w:rsidR="00575E74">
        <w:rPr>
          <w:sz w:val="26"/>
        </w:rPr>
        <w:t xml:space="preserve"> </w:t>
      </w:r>
      <w:r w:rsidR="007C1822">
        <w:rPr>
          <w:sz w:val="26"/>
        </w:rPr>
        <w:t>of the total Plan budget wa</w:t>
      </w:r>
      <w:r w:rsidRPr="009530CF">
        <w:rPr>
          <w:sz w:val="26"/>
        </w:rPr>
        <w:t xml:space="preserve">s to be spent on residential programs that produce a cost/benefit ratio of 2.08 (excluding </w:t>
      </w:r>
      <w:r w:rsidR="00575E74">
        <w:rPr>
          <w:sz w:val="26"/>
        </w:rPr>
        <w:t xml:space="preserve">programs for </w:t>
      </w:r>
      <w:r w:rsidR="003A49E6">
        <w:rPr>
          <w:sz w:val="26"/>
        </w:rPr>
        <w:t>low-income</w:t>
      </w:r>
      <w:r w:rsidR="00575E74">
        <w:rPr>
          <w:sz w:val="26"/>
        </w:rPr>
        <w:t xml:space="preserve"> residential customers, which have a cost/benefit ratio of</w:t>
      </w:r>
      <w:r w:rsidRPr="009530CF">
        <w:rPr>
          <w:sz w:val="26"/>
        </w:rPr>
        <w:t xml:space="preserve"> 2.48).  </w:t>
      </w:r>
      <w:r w:rsidR="008D2FB6">
        <w:rPr>
          <w:sz w:val="26"/>
        </w:rPr>
        <w:t xml:space="preserve">Much of that spending </w:t>
      </w:r>
      <w:r w:rsidR="007C1822">
        <w:rPr>
          <w:sz w:val="26"/>
        </w:rPr>
        <w:t>wa</w:t>
      </w:r>
      <w:r w:rsidRPr="009530CF">
        <w:rPr>
          <w:sz w:val="26"/>
        </w:rPr>
        <w:t xml:space="preserve">s related to the Residential Direct Load Control Program.  </w:t>
      </w:r>
      <w:r w:rsidR="00384BDF">
        <w:rPr>
          <w:sz w:val="26"/>
        </w:rPr>
        <w:t>T</w:t>
      </w:r>
      <w:r w:rsidR="007854E6">
        <w:rPr>
          <w:sz w:val="26"/>
        </w:rPr>
        <w:t xml:space="preserve">he OCA contended that the </w:t>
      </w:r>
      <w:r w:rsidR="007C1822">
        <w:rPr>
          <w:sz w:val="26"/>
        </w:rPr>
        <w:t xml:space="preserve">Initial </w:t>
      </w:r>
      <w:r w:rsidR="007854E6">
        <w:rPr>
          <w:sz w:val="26"/>
        </w:rPr>
        <w:t>Pla</w:t>
      </w:r>
      <w:r w:rsidR="00384BDF">
        <w:rPr>
          <w:sz w:val="26"/>
        </w:rPr>
        <w:t>n</w:t>
      </w:r>
      <w:r w:rsidR="007854E6">
        <w:rPr>
          <w:sz w:val="26"/>
        </w:rPr>
        <w:t xml:space="preserve"> include</w:t>
      </w:r>
      <w:r w:rsidR="007C1822">
        <w:rPr>
          <w:sz w:val="26"/>
        </w:rPr>
        <w:t>d</w:t>
      </w:r>
      <w:r w:rsidR="007854E6">
        <w:rPr>
          <w:sz w:val="26"/>
        </w:rPr>
        <w:t xml:space="preserve"> spending for the Residential Direct Load </w:t>
      </w:r>
      <w:r w:rsidR="001C010A">
        <w:rPr>
          <w:sz w:val="26"/>
        </w:rPr>
        <w:t xml:space="preserve">Control </w:t>
      </w:r>
      <w:r w:rsidR="007854E6">
        <w:rPr>
          <w:sz w:val="26"/>
        </w:rPr>
        <w:t>Program that would not occur during the period covered by th</w:t>
      </w:r>
      <w:r w:rsidR="00384BDF">
        <w:rPr>
          <w:sz w:val="26"/>
        </w:rPr>
        <w:t>at</w:t>
      </w:r>
      <w:r w:rsidR="007854E6">
        <w:rPr>
          <w:sz w:val="26"/>
        </w:rPr>
        <w:t xml:space="preserve"> Plan.  </w:t>
      </w:r>
      <w:r w:rsidRPr="009530CF">
        <w:rPr>
          <w:sz w:val="26"/>
        </w:rPr>
        <w:t>The OCA recommen</w:t>
      </w:r>
      <w:r w:rsidR="007C1822">
        <w:rPr>
          <w:sz w:val="26"/>
        </w:rPr>
        <w:t>ded</w:t>
      </w:r>
      <w:r w:rsidRPr="009530CF">
        <w:rPr>
          <w:sz w:val="26"/>
        </w:rPr>
        <w:t xml:space="preserve"> that Met-Ed consider redirecting some of the funding that was incorrectly included in the Residential Direct Load Control Program budget to achieve a better balance and better targeting of the efficiency dollars.</w:t>
      </w:r>
      <w:r w:rsidR="003E4EAA">
        <w:rPr>
          <w:sz w:val="26"/>
        </w:rPr>
        <w:t xml:space="preserve">  OCA MB at 18.</w:t>
      </w:r>
      <w:r w:rsidR="00E02171" w:rsidRPr="009530CF">
        <w:rPr>
          <w:sz w:val="26"/>
          <w:szCs w:val="26"/>
          <w:u w:val="single"/>
        </w:rPr>
        <w:fldChar w:fldCharType="begin"/>
      </w:r>
      <w:r w:rsidR="00E02171" w:rsidRPr="009530CF">
        <w:rPr>
          <w:sz w:val="26"/>
          <w:szCs w:val="26"/>
          <w:u w:val="single"/>
        </w:rPr>
        <w:fldChar w:fldCharType="end"/>
      </w:r>
    </w:p>
    <w:p w:rsidR="00892629" w:rsidRPr="009530CF" w:rsidRDefault="00892629" w:rsidP="00892629">
      <w:pPr>
        <w:pBdr>
          <w:top w:val="single" w:sz="4" w:space="1" w:color="auto"/>
          <w:left w:val="single" w:sz="4" w:space="4" w:color="auto"/>
          <w:bottom w:val="single" w:sz="4" w:space="1" w:color="auto"/>
          <w:right w:val="single" w:sz="4" w:space="4" w:color="auto"/>
        </w:pBdr>
        <w:shd w:val="clear" w:color="auto" w:fill="C0C0C0"/>
        <w:jc w:val="center"/>
        <w:rPr>
          <w:b/>
          <w:u w:val="single"/>
        </w:rPr>
      </w:pPr>
      <w:r w:rsidRPr="009530CF">
        <w:rPr>
          <w:b/>
          <w:u w:val="single"/>
        </w:rPr>
        <w:t>PENELEC</w:t>
      </w:r>
    </w:p>
    <w:p w:rsidR="00892629" w:rsidRPr="009530CF" w:rsidRDefault="00892629" w:rsidP="00892629">
      <w:pPr>
        <w:pBdr>
          <w:top w:val="single" w:sz="4" w:space="1" w:color="auto"/>
          <w:left w:val="single" w:sz="4" w:space="4" w:color="auto"/>
          <w:bottom w:val="single" w:sz="4" w:space="1" w:color="auto"/>
          <w:right w:val="single" w:sz="4" w:space="4" w:color="auto"/>
        </w:pBdr>
        <w:shd w:val="clear" w:color="auto" w:fill="C0C0C0"/>
        <w:jc w:val="both"/>
        <w:rPr>
          <w:b/>
          <w:u w:val="single"/>
        </w:rPr>
      </w:pPr>
    </w:p>
    <w:p w:rsidR="00892629" w:rsidRPr="009530CF" w:rsidRDefault="00892629" w:rsidP="00892629">
      <w:pPr>
        <w:pBdr>
          <w:top w:val="single" w:sz="4" w:space="1" w:color="auto"/>
          <w:left w:val="single" w:sz="4" w:space="4" w:color="auto"/>
          <w:bottom w:val="single" w:sz="4" w:space="1" w:color="auto"/>
          <w:right w:val="single" w:sz="4" w:space="4" w:color="auto"/>
        </w:pBdr>
        <w:shd w:val="clear" w:color="auto" w:fill="C0C0C0"/>
        <w:jc w:val="both"/>
        <w:rPr>
          <w:b/>
          <w:u w:val="single"/>
        </w:rPr>
      </w:pPr>
      <w:r w:rsidRPr="009530CF">
        <w:rPr>
          <w:b/>
          <w:u w:val="single"/>
        </w:rPr>
        <w:t>Plan Spending As Compared To Revenues By Class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3"/>
        <w:gridCol w:w="1789"/>
        <w:gridCol w:w="1596"/>
        <w:gridCol w:w="1596"/>
        <w:gridCol w:w="1596"/>
        <w:gridCol w:w="1578"/>
      </w:tblGrid>
      <w:tr w:rsidR="00892629" w:rsidRPr="009530CF" w:rsidTr="004D7103">
        <w:tc>
          <w:tcPr>
            <w:tcW w:w="1403" w:type="dxa"/>
            <w:tcBorders>
              <w:top w:val="single" w:sz="4" w:space="0" w:color="000000"/>
              <w:left w:val="single" w:sz="4" w:space="0" w:color="000000"/>
              <w:bottom w:val="single" w:sz="4" w:space="0" w:color="000000"/>
              <w:right w:val="single" w:sz="4" w:space="0" w:color="000000"/>
            </w:tcBorders>
          </w:tcPr>
          <w:p w:rsidR="00892629" w:rsidRPr="009530CF" w:rsidRDefault="00892629" w:rsidP="004D7103">
            <w:pPr>
              <w:jc w:val="both"/>
            </w:pPr>
          </w:p>
        </w:tc>
        <w:tc>
          <w:tcPr>
            <w:tcW w:w="1789"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Revenue by Class</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Class Revenue % of Total</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EE&amp;C Plan Budget</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Increase in Spending</w:t>
            </w:r>
          </w:p>
        </w:tc>
        <w:tc>
          <w:tcPr>
            <w:tcW w:w="1578"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r w:rsidRPr="009530CF">
              <w:t>% of Total Plan</w:t>
            </w:r>
          </w:p>
        </w:tc>
      </w:tr>
      <w:tr w:rsidR="00892629" w:rsidRPr="009530CF" w:rsidTr="004D7103">
        <w:tc>
          <w:tcPr>
            <w:tcW w:w="1403"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Residential</w:t>
            </w:r>
          </w:p>
        </w:tc>
        <w:tc>
          <w:tcPr>
            <w:tcW w:w="1789"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438,000,000</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38.1%</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14,991,244</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3.4%</w:t>
            </w:r>
          </w:p>
        </w:tc>
        <w:tc>
          <w:tcPr>
            <w:tcW w:w="1578"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67.16%</w:t>
            </w:r>
          </w:p>
        </w:tc>
      </w:tr>
      <w:tr w:rsidR="00892629" w:rsidRPr="009530CF" w:rsidTr="004D7103">
        <w:tc>
          <w:tcPr>
            <w:tcW w:w="1403"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Commercial</w:t>
            </w:r>
          </w:p>
        </w:tc>
        <w:tc>
          <w:tcPr>
            <w:tcW w:w="1789"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358,000,000</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31.2%</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3,110,446</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0.9%</w:t>
            </w:r>
          </w:p>
        </w:tc>
        <w:tc>
          <w:tcPr>
            <w:tcW w:w="1578"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20.1%</w:t>
            </w:r>
          </w:p>
        </w:tc>
      </w:tr>
      <w:tr w:rsidR="00892629" w:rsidRPr="009530CF" w:rsidTr="004D7103">
        <w:tc>
          <w:tcPr>
            <w:tcW w:w="1403"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Industrial</w:t>
            </w:r>
          </w:p>
        </w:tc>
        <w:tc>
          <w:tcPr>
            <w:tcW w:w="1789"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353,000,000</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30.7%</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1,502,097</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0.4%</w:t>
            </w:r>
          </w:p>
        </w:tc>
        <w:tc>
          <w:tcPr>
            <w:tcW w:w="1578"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12.7%</w:t>
            </w:r>
          </w:p>
        </w:tc>
      </w:tr>
    </w:tbl>
    <w:p w:rsidR="007C1822" w:rsidRDefault="007C1822" w:rsidP="00892629">
      <w:pPr>
        <w:pBdr>
          <w:top w:val="single" w:sz="4" w:space="1" w:color="auto"/>
          <w:left w:val="single" w:sz="4" w:space="4" w:color="auto"/>
          <w:bottom w:val="single" w:sz="4" w:space="1" w:color="auto"/>
          <w:right w:val="single" w:sz="4" w:space="4" w:color="auto"/>
        </w:pBdr>
        <w:shd w:val="clear" w:color="auto" w:fill="C0C0C0"/>
        <w:jc w:val="both"/>
        <w:rPr>
          <w:b/>
          <w:u w:val="single"/>
        </w:rPr>
      </w:pPr>
    </w:p>
    <w:p w:rsidR="00892629" w:rsidRPr="009530CF" w:rsidRDefault="00892629" w:rsidP="00892629">
      <w:pPr>
        <w:pBdr>
          <w:top w:val="single" w:sz="4" w:space="1" w:color="auto"/>
          <w:left w:val="single" w:sz="4" w:space="4" w:color="auto"/>
          <w:bottom w:val="single" w:sz="4" w:space="1" w:color="auto"/>
          <w:right w:val="single" w:sz="4" w:space="4" w:color="auto"/>
        </w:pBdr>
        <w:shd w:val="clear" w:color="auto" w:fill="C0C0C0"/>
        <w:jc w:val="both"/>
        <w:rPr>
          <w:b/>
          <w:u w:val="single"/>
        </w:rPr>
      </w:pPr>
      <w:r w:rsidRPr="009530CF">
        <w:rPr>
          <w:b/>
          <w:u w:val="single"/>
        </w:rPr>
        <w:t>Consumption Reduction By Class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7"/>
        <w:gridCol w:w="1915"/>
        <w:gridCol w:w="1915"/>
        <w:gridCol w:w="1915"/>
        <w:gridCol w:w="1916"/>
      </w:tblGrid>
      <w:tr w:rsidR="00892629" w:rsidRPr="009530CF" w:rsidTr="004D7103">
        <w:tc>
          <w:tcPr>
            <w:tcW w:w="1897" w:type="dxa"/>
            <w:tcBorders>
              <w:top w:val="single" w:sz="4" w:space="0" w:color="000000"/>
              <w:left w:val="single" w:sz="4" w:space="0" w:color="000000"/>
              <w:bottom w:val="single" w:sz="4" w:space="0" w:color="000000"/>
              <w:right w:val="single" w:sz="4" w:space="0" w:color="000000"/>
            </w:tcBorders>
          </w:tcPr>
          <w:p w:rsidR="00892629" w:rsidRPr="009530CF" w:rsidRDefault="00892629" w:rsidP="004D7103">
            <w:pPr>
              <w:jc w:val="both"/>
            </w:pPr>
          </w:p>
        </w:tc>
        <w:tc>
          <w:tcPr>
            <w:tcW w:w="1915"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mWh by class</w:t>
            </w:r>
          </w:p>
        </w:tc>
        <w:tc>
          <w:tcPr>
            <w:tcW w:w="1915"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 of total usage</w:t>
            </w:r>
          </w:p>
        </w:tc>
        <w:tc>
          <w:tcPr>
            <w:tcW w:w="1915"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mWh saved per plan</w:t>
            </w:r>
          </w:p>
        </w:tc>
        <w:tc>
          <w:tcPr>
            <w:tcW w:w="191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r w:rsidRPr="009530CF">
              <w:t>% of Commission goal</w:t>
            </w:r>
          </w:p>
        </w:tc>
      </w:tr>
      <w:tr w:rsidR="00892629" w:rsidRPr="009530CF" w:rsidTr="004D7103">
        <w:tc>
          <w:tcPr>
            <w:tcW w:w="1897"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Residential</w:t>
            </w:r>
          </w:p>
        </w:tc>
        <w:tc>
          <w:tcPr>
            <w:tcW w:w="1915"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4,313,618</w:t>
            </w:r>
          </w:p>
        </w:tc>
        <w:tc>
          <w:tcPr>
            <w:tcW w:w="1915"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31.1%</w:t>
            </w:r>
          </w:p>
        </w:tc>
        <w:tc>
          <w:tcPr>
            <w:tcW w:w="1915"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219,298</w:t>
            </w:r>
          </w:p>
        </w:tc>
        <w:tc>
          <w:tcPr>
            <w:tcW w:w="191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50.8%</w:t>
            </w:r>
          </w:p>
        </w:tc>
      </w:tr>
      <w:tr w:rsidR="00892629" w:rsidRPr="009530CF" w:rsidTr="004D7103">
        <w:tc>
          <w:tcPr>
            <w:tcW w:w="1897"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Commercial</w:t>
            </w:r>
          </w:p>
        </w:tc>
        <w:tc>
          <w:tcPr>
            <w:tcW w:w="1915"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3,653,546</w:t>
            </w:r>
          </w:p>
        </w:tc>
        <w:tc>
          <w:tcPr>
            <w:tcW w:w="1915"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26.4%</w:t>
            </w:r>
          </w:p>
        </w:tc>
        <w:tc>
          <w:tcPr>
            <w:tcW w:w="1915"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183,556</w:t>
            </w:r>
          </w:p>
        </w:tc>
        <w:tc>
          <w:tcPr>
            <w:tcW w:w="191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42.5%</w:t>
            </w:r>
          </w:p>
        </w:tc>
      </w:tr>
      <w:tr w:rsidR="00892629" w:rsidRPr="009530CF" w:rsidTr="004D7103">
        <w:tc>
          <w:tcPr>
            <w:tcW w:w="1897" w:type="dxa"/>
            <w:tcBorders>
              <w:top w:val="single" w:sz="4" w:space="0" w:color="000000"/>
              <w:left w:val="single" w:sz="4" w:space="0" w:color="000000"/>
              <w:bottom w:val="single" w:sz="4" w:space="0" w:color="auto"/>
              <w:right w:val="single" w:sz="4" w:space="0" w:color="000000"/>
            </w:tcBorders>
            <w:hideMark/>
          </w:tcPr>
          <w:p w:rsidR="00892629" w:rsidRPr="009530CF" w:rsidRDefault="00892629" w:rsidP="004D7103">
            <w:pPr>
              <w:jc w:val="both"/>
            </w:pPr>
            <w:r w:rsidRPr="009530CF">
              <w:t>Industrial</w:t>
            </w:r>
          </w:p>
        </w:tc>
        <w:tc>
          <w:tcPr>
            <w:tcW w:w="1915" w:type="dxa"/>
            <w:tcBorders>
              <w:top w:val="single" w:sz="4" w:space="0" w:color="000000"/>
              <w:left w:val="single" w:sz="4" w:space="0" w:color="000000"/>
              <w:bottom w:val="single" w:sz="4" w:space="0" w:color="auto"/>
              <w:right w:val="single" w:sz="4" w:space="0" w:color="000000"/>
            </w:tcBorders>
            <w:hideMark/>
          </w:tcPr>
          <w:p w:rsidR="00892629" w:rsidRPr="009530CF" w:rsidRDefault="00892629" w:rsidP="004D7103">
            <w:pPr>
              <w:jc w:val="both"/>
            </w:pPr>
            <w:r w:rsidRPr="009530CF">
              <w:t>5,889,237</w:t>
            </w:r>
          </w:p>
        </w:tc>
        <w:tc>
          <w:tcPr>
            <w:tcW w:w="1915" w:type="dxa"/>
            <w:tcBorders>
              <w:top w:val="single" w:sz="4" w:space="0" w:color="000000"/>
              <w:left w:val="single" w:sz="4" w:space="0" w:color="000000"/>
              <w:bottom w:val="single" w:sz="4" w:space="0" w:color="auto"/>
              <w:right w:val="single" w:sz="4" w:space="0" w:color="000000"/>
            </w:tcBorders>
            <w:hideMark/>
          </w:tcPr>
          <w:p w:rsidR="00892629" w:rsidRPr="009530CF" w:rsidRDefault="00892629" w:rsidP="004D7103">
            <w:pPr>
              <w:jc w:val="both"/>
            </w:pPr>
            <w:r w:rsidRPr="009530CF">
              <w:t>42.5%</w:t>
            </w:r>
          </w:p>
        </w:tc>
        <w:tc>
          <w:tcPr>
            <w:tcW w:w="1915" w:type="dxa"/>
            <w:tcBorders>
              <w:top w:val="single" w:sz="4" w:space="0" w:color="000000"/>
              <w:left w:val="single" w:sz="4" w:space="0" w:color="000000"/>
              <w:bottom w:val="single" w:sz="4" w:space="0" w:color="auto"/>
              <w:right w:val="single" w:sz="4" w:space="0" w:color="000000"/>
            </w:tcBorders>
            <w:hideMark/>
          </w:tcPr>
          <w:p w:rsidR="00892629" w:rsidRPr="009530CF" w:rsidRDefault="00892629" w:rsidP="004D7103">
            <w:pPr>
              <w:jc w:val="both"/>
            </w:pPr>
            <w:r w:rsidRPr="009530CF">
              <w:t>39,928</w:t>
            </w:r>
          </w:p>
        </w:tc>
        <w:tc>
          <w:tcPr>
            <w:tcW w:w="1916" w:type="dxa"/>
            <w:tcBorders>
              <w:top w:val="single" w:sz="4" w:space="0" w:color="000000"/>
              <w:left w:val="single" w:sz="4" w:space="0" w:color="000000"/>
              <w:bottom w:val="single" w:sz="4" w:space="0" w:color="auto"/>
              <w:right w:val="single" w:sz="4" w:space="0" w:color="000000"/>
            </w:tcBorders>
            <w:hideMark/>
          </w:tcPr>
          <w:p w:rsidR="00892629" w:rsidRPr="009530CF" w:rsidRDefault="00892629" w:rsidP="004D7103">
            <w:pPr>
              <w:jc w:val="both"/>
            </w:pPr>
            <w:r w:rsidRPr="009530CF">
              <w:t>9.2%</w:t>
            </w:r>
          </w:p>
        </w:tc>
      </w:tr>
      <w:tr w:rsidR="00892629" w:rsidRPr="009530CF" w:rsidTr="004D7103">
        <w:tc>
          <w:tcPr>
            <w:tcW w:w="9558" w:type="dxa"/>
            <w:gridSpan w:val="5"/>
            <w:tcBorders>
              <w:top w:val="single" w:sz="4" w:space="0" w:color="auto"/>
              <w:left w:val="single" w:sz="4" w:space="0" w:color="auto"/>
              <w:bottom w:val="single" w:sz="4" w:space="0" w:color="auto"/>
              <w:right w:val="single" w:sz="4" w:space="0" w:color="auto"/>
            </w:tcBorders>
            <w:hideMark/>
          </w:tcPr>
          <w:p w:rsidR="00892629" w:rsidRPr="009530CF" w:rsidRDefault="00892629" w:rsidP="004D7103">
            <w:pPr>
              <w:shd w:val="clear" w:color="auto" w:fill="C0C0C0"/>
              <w:jc w:val="both"/>
            </w:pPr>
            <w:r w:rsidRPr="009530CF">
              <w:t>*For purposes of this chart, all of the gov</w:t>
            </w:r>
            <w:r w:rsidR="003E4EAA">
              <w:t>ernment/non-</w:t>
            </w:r>
            <w:r w:rsidRPr="009530CF">
              <w:t xml:space="preserve">profit consumption reductions have been attributed to the Commercial class </w:t>
            </w:r>
          </w:p>
          <w:p w:rsidR="00892629" w:rsidRPr="009530CF" w:rsidRDefault="00892629" w:rsidP="003E4EAA">
            <w:pPr>
              <w:shd w:val="clear" w:color="auto" w:fill="C0C0C0"/>
              <w:jc w:val="both"/>
            </w:pPr>
            <w:r w:rsidRPr="009530CF">
              <w:rPr>
                <w:u w:val="single"/>
              </w:rPr>
              <w:t>See</w:t>
            </w:r>
            <w:r w:rsidRPr="009530CF">
              <w:t xml:space="preserve"> Penelec</w:t>
            </w:r>
            <w:r w:rsidR="003E4EAA">
              <w:t xml:space="preserve">’s Initial </w:t>
            </w:r>
            <w:r w:rsidRPr="009530CF">
              <w:t xml:space="preserve">Plan at PUC Table 5; PUC Table 2; </w:t>
            </w:r>
            <w:r w:rsidR="003E4EAA">
              <w:t xml:space="preserve">FirstEnergy </w:t>
            </w:r>
            <w:r w:rsidRPr="009530CF">
              <w:t xml:space="preserve">St. 3, Exh. 4, page 3. </w:t>
            </w:r>
            <w:r w:rsidRPr="009530CF">
              <w:rPr>
                <w:u w:val="single"/>
              </w:rPr>
              <w:t>See</w:t>
            </w:r>
            <w:r w:rsidRPr="009530CF">
              <w:t xml:space="preserve"> </w:t>
            </w:r>
            <w:r w:rsidRPr="009530CF">
              <w:rPr>
                <w:u w:val="single"/>
              </w:rPr>
              <w:t>also</w:t>
            </w:r>
            <w:r w:rsidR="003E4EAA">
              <w:t xml:space="preserve"> FirstEnergy </w:t>
            </w:r>
            <w:r w:rsidRPr="009530CF">
              <w:t>Petition at 12</w:t>
            </w:r>
          </w:p>
        </w:tc>
      </w:tr>
    </w:tbl>
    <w:p w:rsidR="007C1822" w:rsidRDefault="007C1822" w:rsidP="00892629">
      <w:pPr>
        <w:pBdr>
          <w:top w:val="single" w:sz="4" w:space="1" w:color="auto"/>
          <w:left w:val="single" w:sz="4" w:space="4" w:color="auto"/>
          <w:bottom w:val="single" w:sz="4" w:space="1" w:color="auto"/>
          <w:right w:val="single" w:sz="4" w:space="4" w:color="auto"/>
        </w:pBdr>
        <w:shd w:val="clear" w:color="auto" w:fill="C0C0C0"/>
        <w:jc w:val="both"/>
        <w:rPr>
          <w:b/>
          <w:u w:val="single"/>
        </w:rPr>
      </w:pPr>
    </w:p>
    <w:p w:rsidR="00892629" w:rsidRPr="009530CF" w:rsidRDefault="00892629" w:rsidP="00892629">
      <w:pPr>
        <w:pBdr>
          <w:top w:val="single" w:sz="4" w:space="1" w:color="auto"/>
          <w:left w:val="single" w:sz="4" w:space="4" w:color="auto"/>
          <w:bottom w:val="single" w:sz="4" w:space="1" w:color="auto"/>
          <w:right w:val="single" w:sz="4" w:space="4" w:color="auto"/>
        </w:pBdr>
        <w:shd w:val="clear" w:color="auto" w:fill="C0C0C0"/>
        <w:jc w:val="both"/>
        <w:rPr>
          <w:b/>
          <w:u w:val="single"/>
        </w:rPr>
      </w:pPr>
      <w:r w:rsidRPr="009530CF">
        <w:rPr>
          <w:b/>
          <w:u w:val="single"/>
        </w:rPr>
        <w:t>Total Bill Impact Of Proposed EEC-C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892629" w:rsidRPr="009530CF" w:rsidTr="004D7103">
        <w:tc>
          <w:tcPr>
            <w:tcW w:w="2394" w:type="dxa"/>
            <w:tcBorders>
              <w:top w:val="single" w:sz="4" w:space="0" w:color="000000"/>
              <w:left w:val="single" w:sz="4" w:space="0" w:color="000000"/>
              <w:bottom w:val="single" w:sz="4" w:space="0" w:color="000000"/>
              <w:right w:val="single" w:sz="4" w:space="0" w:color="000000"/>
            </w:tcBorders>
          </w:tcPr>
          <w:p w:rsidR="00892629" w:rsidRPr="009530CF" w:rsidRDefault="00892629" w:rsidP="004D7103">
            <w:pPr>
              <w:shd w:val="clear" w:color="auto" w:fill="FFFFFF"/>
              <w:jc w:val="both"/>
            </w:pP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Average kWh Usage</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Dollar Increase</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 Increase Total Bill</w:t>
            </w:r>
          </w:p>
        </w:tc>
      </w:tr>
      <w:tr w:rsidR="00892629" w:rsidRPr="009530CF" w:rsidTr="004D7103">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RS</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730</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2.76</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3.62%</w:t>
            </w:r>
          </w:p>
        </w:tc>
      </w:tr>
      <w:tr w:rsidR="00892629" w:rsidRPr="009530CF" w:rsidTr="004D7103">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GSVF (volunteer fire)</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1700</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6.44</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3.86%</w:t>
            </w:r>
          </w:p>
        </w:tc>
      </w:tr>
      <w:tr w:rsidR="00892629" w:rsidRPr="009530CF" w:rsidTr="004D7103">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GS-S</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440</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0.62</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1.45%</w:t>
            </w:r>
          </w:p>
        </w:tc>
      </w:tr>
      <w:tr w:rsidR="00892629" w:rsidRPr="009530CF" w:rsidTr="004D7103">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GS-M</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8800</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12.47</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1.86%</w:t>
            </w:r>
          </w:p>
        </w:tc>
      </w:tr>
      <w:tr w:rsidR="00892629" w:rsidRPr="009530CF" w:rsidTr="004D7103">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GP</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431500</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206.71</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0.82%</w:t>
            </w:r>
          </w:p>
        </w:tc>
      </w:tr>
      <w:tr w:rsidR="00892629" w:rsidRPr="009530CF" w:rsidTr="004D7103">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LP</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5125000</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2455.08</w:t>
            </w:r>
          </w:p>
        </w:tc>
        <w:tc>
          <w:tcPr>
            <w:tcW w:w="2394"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0.83%</w:t>
            </w:r>
          </w:p>
        </w:tc>
      </w:tr>
    </w:tbl>
    <w:p w:rsidR="00892629" w:rsidRPr="009530CF" w:rsidRDefault="00892629" w:rsidP="00892629">
      <w:pPr>
        <w:pBdr>
          <w:top w:val="single" w:sz="4" w:space="1" w:color="auto"/>
          <w:left w:val="single" w:sz="4" w:space="4" w:color="auto"/>
          <w:bottom w:val="single" w:sz="4" w:space="1" w:color="auto"/>
          <w:right w:val="single" w:sz="4" w:space="4" w:color="auto"/>
        </w:pBdr>
        <w:shd w:val="clear" w:color="auto" w:fill="C0C0C0"/>
        <w:jc w:val="both"/>
      </w:pPr>
      <w:r w:rsidRPr="009530CF">
        <w:rPr>
          <w:u w:val="single"/>
        </w:rPr>
        <w:t>See</w:t>
      </w:r>
      <w:r w:rsidRPr="009530CF">
        <w:t xml:space="preserve"> OCA St. 1 at 41; OCA Cross Exam Exh. 1.</w:t>
      </w:r>
    </w:p>
    <w:p w:rsidR="00384BDF" w:rsidRDefault="00892629" w:rsidP="00892629">
      <w:pPr>
        <w:autoSpaceDE w:val="0"/>
        <w:autoSpaceDN w:val="0"/>
        <w:adjustRightInd w:val="0"/>
        <w:spacing w:line="360" w:lineRule="auto"/>
        <w:ind w:firstLine="1440"/>
        <w:rPr>
          <w:sz w:val="26"/>
        </w:rPr>
      </w:pPr>
      <w:r w:rsidRPr="009530CF">
        <w:rPr>
          <w:sz w:val="26"/>
        </w:rPr>
        <w:lastRenderedPageBreak/>
        <w:t>For Penelec</w:t>
      </w:r>
      <w:r w:rsidR="00314A85">
        <w:rPr>
          <w:sz w:val="26"/>
        </w:rPr>
        <w:t>,</w:t>
      </w:r>
      <w:r w:rsidRPr="009530CF">
        <w:rPr>
          <w:sz w:val="26"/>
        </w:rPr>
        <w:t xml:space="preserve"> as the above tables illustrate, ove</w:t>
      </w:r>
      <w:r w:rsidR="007C1822">
        <w:rPr>
          <w:sz w:val="26"/>
        </w:rPr>
        <w:t>r 67% of the total Plan budget wa</w:t>
      </w:r>
      <w:r w:rsidRPr="009530CF">
        <w:rPr>
          <w:sz w:val="26"/>
        </w:rPr>
        <w:t xml:space="preserve">s to be spent on residential programs that produce a cost/benefit ratio of 2.07 (excluding </w:t>
      </w:r>
      <w:r w:rsidR="00E74D66">
        <w:rPr>
          <w:sz w:val="26"/>
        </w:rPr>
        <w:t xml:space="preserve">programs for </w:t>
      </w:r>
      <w:r w:rsidR="003A49E6">
        <w:rPr>
          <w:sz w:val="26"/>
        </w:rPr>
        <w:t>low-income</w:t>
      </w:r>
      <w:r w:rsidR="00E74D66">
        <w:rPr>
          <w:sz w:val="26"/>
        </w:rPr>
        <w:t xml:space="preserve"> residential customers, which have a cost/benefit ratio of</w:t>
      </w:r>
      <w:r w:rsidRPr="009530CF">
        <w:rPr>
          <w:sz w:val="26"/>
        </w:rPr>
        <w:t xml:space="preserve"> 2.49).  </w:t>
      </w:r>
      <w:r w:rsidR="008D2FB6">
        <w:rPr>
          <w:sz w:val="26"/>
        </w:rPr>
        <w:t xml:space="preserve">Much of that spending </w:t>
      </w:r>
      <w:r w:rsidR="007C1822">
        <w:rPr>
          <w:sz w:val="26"/>
        </w:rPr>
        <w:t>wa</w:t>
      </w:r>
      <w:r w:rsidRPr="009530CF">
        <w:rPr>
          <w:sz w:val="26"/>
        </w:rPr>
        <w:t xml:space="preserve">s related to the Residential Direct Load Control Program.  </w:t>
      </w:r>
      <w:r w:rsidR="00E74D66">
        <w:rPr>
          <w:sz w:val="26"/>
        </w:rPr>
        <w:t>Again, t</w:t>
      </w:r>
      <w:r w:rsidRPr="009530CF">
        <w:rPr>
          <w:sz w:val="26"/>
        </w:rPr>
        <w:t xml:space="preserve">he </w:t>
      </w:r>
      <w:r w:rsidR="00E74D66">
        <w:rPr>
          <w:sz w:val="26"/>
        </w:rPr>
        <w:t>OCA contended</w:t>
      </w:r>
      <w:r w:rsidR="00384BDF">
        <w:rPr>
          <w:sz w:val="26"/>
        </w:rPr>
        <w:t xml:space="preserve"> t</w:t>
      </w:r>
      <w:r w:rsidR="00E74D66">
        <w:rPr>
          <w:sz w:val="26"/>
        </w:rPr>
        <w:t xml:space="preserve">hat the </w:t>
      </w:r>
      <w:r w:rsidR="00384BDF">
        <w:rPr>
          <w:sz w:val="26"/>
        </w:rPr>
        <w:t xml:space="preserve">Initial </w:t>
      </w:r>
      <w:r w:rsidR="00E74D66">
        <w:rPr>
          <w:sz w:val="26"/>
        </w:rPr>
        <w:t>Pla</w:t>
      </w:r>
      <w:r w:rsidR="00384BDF">
        <w:rPr>
          <w:sz w:val="26"/>
        </w:rPr>
        <w:t>n</w:t>
      </w:r>
      <w:r w:rsidR="00E74D66">
        <w:rPr>
          <w:sz w:val="26"/>
        </w:rPr>
        <w:t xml:space="preserve"> include</w:t>
      </w:r>
      <w:r w:rsidR="007C1822">
        <w:rPr>
          <w:sz w:val="26"/>
        </w:rPr>
        <w:t>d</w:t>
      </w:r>
      <w:r w:rsidR="00E74D66">
        <w:rPr>
          <w:sz w:val="26"/>
        </w:rPr>
        <w:t xml:space="preserve"> spending for the Residential Direct Load </w:t>
      </w:r>
      <w:r w:rsidR="001C010A">
        <w:rPr>
          <w:sz w:val="26"/>
        </w:rPr>
        <w:t xml:space="preserve">Control </w:t>
      </w:r>
      <w:r w:rsidR="00E74D66">
        <w:rPr>
          <w:sz w:val="26"/>
        </w:rPr>
        <w:t>Program that would not occur during the period covered by th</w:t>
      </w:r>
      <w:r w:rsidR="00384BDF">
        <w:rPr>
          <w:sz w:val="26"/>
        </w:rPr>
        <w:t>at</w:t>
      </w:r>
      <w:r w:rsidR="00E74D66">
        <w:rPr>
          <w:sz w:val="26"/>
        </w:rPr>
        <w:t xml:space="preserve"> Plan.  </w:t>
      </w:r>
      <w:r w:rsidR="00E74D66" w:rsidRPr="009530CF">
        <w:rPr>
          <w:sz w:val="26"/>
        </w:rPr>
        <w:t xml:space="preserve">The </w:t>
      </w:r>
      <w:r w:rsidR="007C1822">
        <w:rPr>
          <w:sz w:val="26"/>
        </w:rPr>
        <w:t>OCA recommended</w:t>
      </w:r>
      <w:r w:rsidRPr="009530CF">
        <w:rPr>
          <w:sz w:val="26"/>
        </w:rPr>
        <w:t xml:space="preserve"> that Penelec consider redirecting some of the funding that was incorrectly included in the Residential Direct Load Control Program budget to achieve a better balance and better targeting of the efficiency dollars. </w:t>
      </w:r>
      <w:r w:rsidR="002D06B6">
        <w:rPr>
          <w:sz w:val="26"/>
        </w:rPr>
        <w:t xml:space="preserve"> OCA MB at 19.  </w:t>
      </w:r>
    </w:p>
    <w:p w:rsidR="00892629" w:rsidRPr="009530CF" w:rsidRDefault="00892629" w:rsidP="00892629">
      <w:pPr>
        <w:pBdr>
          <w:top w:val="single" w:sz="4" w:space="1" w:color="000000"/>
          <w:left w:val="single" w:sz="4" w:space="4" w:color="000000"/>
          <w:bottom w:val="single" w:sz="4" w:space="1" w:color="000000"/>
          <w:right w:val="single" w:sz="4" w:space="4" w:color="000000"/>
        </w:pBdr>
        <w:shd w:val="clear" w:color="auto" w:fill="C0C0C0"/>
        <w:jc w:val="center"/>
        <w:rPr>
          <w:b/>
          <w:u w:val="single"/>
        </w:rPr>
      </w:pPr>
      <w:r w:rsidRPr="009530CF">
        <w:rPr>
          <w:b/>
          <w:u w:val="single"/>
        </w:rPr>
        <w:t>PENN POWER</w:t>
      </w:r>
    </w:p>
    <w:p w:rsidR="00892629" w:rsidRPr="009530CF" w:rsidRDefault="00892629" w:rsidP="00892629">
      <w:pPr>
        <w:pBdr>
          <w:top w:val="single" w:sz="4" w:space="1" w:color="000000"/>
          <w:left w:val="single" w:sz="4" w:space="4" w:color="000000"/>
          <w:bottom w:val="single" w:sz="4" w:space="1" w:color="000000"/>
          <w:right w:val="single" w:sz="4" w:space="4" w:color="000000"/>
        </w:pBdr>
        <w:shd w:val="clear" w:color="auto" w:fill="C0C0C0"/>
        <w:jc w:val="both"/>
        <w:rPr>
          <w:b/>
          <w:u w:val="single"/>
        </w:rPr>
      </w:pPr>
    </w:p>
    <w:p w:rsidR="00892629" w:rsidRPr="009530CF" w:rsidRDefault="00892629" w:rsidP="00892629">
      <w:pPr>
        <w:pBdr>
          <w:top w:val="single" w:sz="4" w:space="1" w:color="000000"/>
          <w:left w:val="single" w:sz="4" w:space="4" w:color="000000"/>
          <w:bottom w:val="single" w:sz="4" w:space="1" w:color="000000"/>
          <w:right w:val="single" w:sz="4" w:space="4" w:color="000000"/>
        </w:pBdr>
        <w:shd w:val="clear" w:color="auto" w:fill="C0C0C0"/>
        <w:jc w:val="both"/>
        <w:rPr>
          <w:b/>
          <w:u w:val="single"/>
        </w:rPr>
      </w:pPr>
      <w:r w:rsidRPr="009530CF">
        <w:rPr>
          <w:b/>
          <w:u w:val="single"/>
        </w:rPr>
        <w:t>Plan Spending As Compared To Revenues By Class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319"/>
        <w:gridCol w:w="479"/>
        <w:gridCol w:w="798"/>
        <w:gridCol w:w="638"/>
        <w:gridCol w:w="958"/>
        <w:gridCol w:w="957"/>
        <w:gridCol w:w="639"/>
        <w:gridCol w:w="798"/>
        <w:gridCol w:w="478"/>
        <w:gridCol w:w="320"/>
        <w:gridCol w:w="1596"/>
      </w:tblGrid>
      <w:tr w:rsidR="00892629" w:rsidRPr="009530CF" w:rsidTr="004D7103">
        <w:tc>
          <w:tcPr>
            <w:tcW w:w="1596" w:type="dxa"/>
            <w:tcBorders>
              <w:top w:val="single" w:sz="4" w:space="0" w:color="000000"/>
              <w:left w:val="single" w:sz="4" w:space="0" w:color="000000"/>
              <w:bottom w:val="single" w:sz="4" w:space="0" w:color="000000"/>
              <w:right w:val="single" w:sz="4" w:space="0" w:color="000000"/>
            </w:tcBorders>
          </w:tcPr>
          <w:p w:rsidR="00892629" w:rsidRPr="009530CF" w:rsidRDefault="00892629" w:rsidP="004D7103">
            <w:pPr>
              <w:jc w:val="both"/>
            </w:pPr>
          </w:p>
          <w:p w:rsidR="00892629" w:rsidRPr="009530CF" w:rsidRDefault="00892629" w:rsidP="004D7103">
            <w:pPr>
              <w:jc w:val="both"/>
            </w:pPr>
          </w:p>
        </w:tc>
        <w:tc>
          <w:tcPr>
            <w:tcW w:w="1596"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Revenue by Class</w:t>
            </w:r>
          </w:p>
        </w:tc>
        <w:tc>
          <w:tcPr>
            <w:tcW w:w="159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Class Revenue % of Total</w:t>
            </w:r>
          </w:p>
        </w:tc>
        <w:tc>
          <w:tcPr>
            <w:tcW w:w="159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EE&amp;C Plan Budget</w:t>
            </w:r>
          </w:p>
        </w:tc>
        <w:tc>
          <w:tcPr>
            <w:tcW w:w="1596"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Increase in Spending</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 of Total Plan</w:t>
            </w:r>
          </w:p>
        </w:tc>
      </w:tr>
      <w:tr w:rsidR="00892629" w:rsidRPr="009530CF" w:rsidTr="004D7103">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Residential</w:t>
            </w:r>
          </w:p>
        </w:tc>
        <w:tc>
          <w:tcPr>
            <w:tcW w:w="1596"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137,000,000</w:t>
            </w:r>
          </w:p>
        </w:tc>
        <w:tc>
          <w:tcPr>
            <w:tcW w:w="159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41.0%</w:t>
            </w:r>
          </w:p>
        </w:tc>
        <w:tc>
          <w:tcPr>
            <w:tcW w:w="159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3,316,668</w:t>
            </w:r>
          </w:p>
        </w:tc>
        <w:tc>
          <w:tcPr>
            <w:tcW w:w="1596"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2.4%</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51.79%</w:t>
            </w:r>
          </w:p>
        </w:tc>
      </w:tr>
      <w:tr w:rsidR="00892629" w:rsidRPr="009530CF" w:rsidTr="004D7103">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Commercial</w:t>
            </w:r>
          </w:p>
        </w:tc>
        <w:tc>
          <w:tcPr>
            <w:tcW w:w="1596"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99,000,000</w:t>
            </w:r>
          </w:p>
        </w:tc>
        <w:tc>
          <w:tcPr>
            <w:tcW w:w="159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29.8%</w:t>
            </w:r>
          </w:p>
        </w:tc>
        <w:tc>
          <w:tcPr>
            <w:tcW w:w="159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983,920</w:t>
            </w:r>
          </w:p>
        </w:tc>
        <w:tc>
          <w:tcPr>
            <w:tcW w:w="1596"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1.0%</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20.3%</w:t>
            </w:r>
          </w:p>
        </w:tc>
      </w:tr>
      <w:tr w:rsidR="00892629" w:rsidRPr="009530CF" w:rsidTr="004D7103">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Industrial</w:t>
            </w:r>
          </w:p>
        </w:tc>
        <w:tc>
          <w:tcPr>
            <w:tcW w:w="1596"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97,000,000</w:t>
            </w:r>
          </w:p>
        </w:tc>
        <w:tc>
          <w:tcPr>
            <w:tcW w:w="159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29.2%</w:t>
            </w:r>
          </w:p>
        </w:tc>
        <w:tc>
          <w:tcPr>
            <w:tcW w:w="159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588,682</w:t>
            </w:r>
          </w:p>
        </w:tc>
        <w:tc>
          <w:tcPr>
            <w:tcW w:w="1596"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0.6%</w:t>
            </w:r>
          </w:p>
        </w:tc>
        <w:tc>
          <w:tcPr>
            <w:tcW w:w="1596" w:type="dxa"/>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27.9%</w:t>
            </w:r>
          </w:p>
        </w:tc>
      </w:tr>
      <w:tr w:rsidR="00892629" w:rsidRPr="009530CF" w:rsidTr="004D7103">
        <w:tc>
          <w:tcPr>
            <w:tcW w:w="9576" w:type="dxa"/>
            <w:gridSpan w:val="12"/>
            <w:tcBorders>
              <w:top w:val="single" w:sz="4" w:space="0" w:color="000000"/>
              <w:left w:val="single" w:sz="4" w:space="0" w:color="000000"/>
              <w:bottom w:val="single" w:sz="4" w:space="0" w:color="000000"/>
              <w:right w:val="single" w:sz="4" w:space="0" w:color="000000"/>
            </w:tcBorders>
          </w:tcPr>
          <w:p w:rsidR="00892629" w:rsidRPr="009530CF" w:rsidRDefault="00892629" w:rsidP="004D7103">
            <w:pPr>
              <w:pBdr>
                <w:top w:val="single" w:sz="4" w:space="1" w:color="000000"/>
                <w:left w:val="single" w:sz="4" w:space="4" w:color="000000"/>
                <w:bottom w:val="single" w:sz="4" w:space="1" w:color="000000"/>
                <w:right w:val="single" w:sz="4" w:space="4" w:color="000000"/>
              </w:pBdr>
              <w:shd w:val="clear" w:color="auto" w:fill="C0C0C0"/>
              <w:jc w:val="both"/>
            </w:pPr>
          </w:p>
          <w:p w:rsidR="00892629" w:rsidRPr="009530CF" w:rsidRDefault="00892629" w:rsidP="004D7103">
            <w:pPr>
              <w:pBdr>
                <w:top w:val="single" w:sz="4" w:space="1" w:color="000000"/>
                <w:left w:val="single" w:sz="4" w:space="4" w:color="000000"/>
                <w:bottom w:val="single" w:sz="4" w:space="1" w:color="000000"/>
                <w:right w:val="single" w:sz="4" w:space="4" w:color="000000"/>
              </w:pBdr>
              <w:shd w:val="clear" w:color="auto" w:fill="C0C0C0"/>
              <w:jc w:val="both"/>
            </w:pPr>
            <w:r w:rsidRPr="009530CF">
              <w:rPr>
                <w:b/>
                <w:u w:val="single"/>
              </w:rPr>
              <w:t>Consumption Reduction By Class</w:t>
            </w:r>
          </w:p>
        </w:tc>
      </w:tr>
      <w:tr w:rsidR="00892629" w:rsidRPr="009530CF" w:rsidTr="004D7103">
        <w:tc>
          <w:tcPr>
            <w:tcW w:w="1915" w:type="dxa"/>
            <w:gridSpan w:val="2"/>
            <w:tcBorders>
              <w:top w:val="single" w:sz="4" w:space="0" w:color="000000"/>
              <w:left w:val="single" w:sz="4" w:space="0" w:color="000000"/>
              <w:bottom w:val="single" w:sz="4" w:space="0" w:color="000000"/>
              <w:right w:val="single" w:sz="4" w:space="0" w:color="000000"/>
            </w:tcBorders>
          </w:tcPr>
          <w:p w:rsidR="00892629" w:rsidRPr="009530CF" w:rsidRDefault="00892629" w:rsidP="004D7103">
            <w:pPr>
              <w:jc w:val="both"/>
            </w:pPr>
          </w:p>
        </w:tc>
        <w:tc>
          <w:tcPr>
            <w:tcW w:w="1915"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mWh by class</w:t>
            </w:r>
          </w:p>
        </w:tc>
        <w:tc>
          <w:tcPr>
            <w:tcW w:w="1915"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 of total usage</w:t>
            </w:r>
          </w:p>
        </w:tc>
        <w:tc>
          <w:tcPr>
            <w:tcW w:w="1915"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mWh saved per plan</w:t>
            </w:r>
          </w:p>
        </w:tc>
        <w:tc>
          <w:tcPr>
            <w:tcW w:w="191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r w:rsidRPr="009530CF">
              <w:t>% of Commission goal</w:t>
            </w:r>
          </w:p>
        </w:tc>
      </w:tr>
      <w:tr w:rsidR="00892629" w:rsidRPr="009530CF" w:rsidTr="004D7103">
        <w:tc>
          <w:tcPr>
            <w:tcW w:w="1915"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Residential</w:t>
            </w:r>
          </w:p>
        </w:tc>
        <w:tc>
          <w:tcPr>
            <w:tcW w:w="1915"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1,617,204</w:t>
            </w:r>
          </w:p>
        </w:tc>
        <w:tc>
          <w:tcPr>
            <w:tcW w:w="1915"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34.6%</w:t>
            </w:r>
          </w:p>
        </w:tc>
        <w:tc>
          <w:tcPr>
            <w:tcW w:w="1915"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67,086</w:t>
            </w:r>
          </w:p>
        </w:tc>
        <w:tc>
          <w:tcPr>
            <w:tcW w:w="191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46.9%</w:t>
            </w:r>
          </w:p>
        </w:tc>
      </w:tr>
      <w:tr w:rsidR="00892629" w:rsidRPr="009530CF" w:rsidTr="004D7103">
        <w:tc>
          <w:tcPr>
            <w:tcW w:w="1915"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Commercial</w:t>
            </w:r>
          </w:p>
        </w:tc>
        <w:tc>
          <w:tcPr>
            <w:tcW w:w="1915"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1,282,701</w:t>
            </w:r>
          </w:p>
        </w:tc>
        <w:tc>
          <w:tcPr>
            <w:tcW w:w="1915"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27.4%</w:t>
            </w:r>
          </w:p>
        </w:tc>
        <w:tc>
          <w:tcPr>
            <w:tcW w:w="1915"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64,190</w:t>
            </w:r>
          </w:p>
        </w:tc>
        <w:tc>
          <w:tcPr>
            <w:tcW w:w="191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44.8%</w:t>
            </w:r>
          </w:p>
        </w:tc>
      </w:tr>
      <w:tr w:rsidR="00892629" w:rsidRPr="009530CF" w:rsidTr="004D7103">
        <w:tc>
          <w:tcPr>
            <w:tcW w:w="1915"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Industrial</w:t>
            </w:r>
          </w:p>
        </w:tc>
        <w:tc>
          <w:tcPr>
            <w:tcW w:w="1915"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1,778,405</w:t>
            </w:r>
          </w:p>
        </w:tc>
        <w:tc>
          <w:tcPr>
            <w:tcW w:w="1915"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38.0%</w:t>
            </w:r>
          </w:p>
        </w:tc>
        <w:tc>
          <w:tcPr>
            <w:tcW w:w="1915"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13,088</w:t>
            </w:r>
          </w:p>
        </w:tc>
        <w:tc>
          <w:tcPr>
            <w:tcW w:w="1916" w:type="dxa"/>
            <w:gridSpan w:val="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9.1%</w:t>
            </w:r>
          </w:p>
        </w:tc>
      </w:tr>
      <w:tr w:rsidR="00892629" w:rsidRPr="009530CF" w:rsidTr="004D7103">
        <w:tc>
          <w:tcPr>
            <w:tcW w:w="9576" w:type="dxa"/>
            <w:gridSpan w:val="12"/>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jc w:val="both"/>
            </w:pPr>
            <w:r w:rsidRPr="009530CF">
              <w:t>*For purposes of this chart, all of the gov</w:t>
            </w:r>
            <w:r w:rsidR="007F0287">
              <w:t>ernment/non-</w:t>
            </w:r>
            <w:r w:rsidRPr="009530CF">
              <w:t xml:space="preserve">profit consumption reductions have been attributed to the Commercial class </w:t>
            </w:r>
          </w:p>
          <w:p w:rsidR="00892629" w:rsidRPr="009530CF" w:rsidRDefault="00892629" w:rsidP="007F0287">
            <w:pPr>
              <w:jc w:val="both"/>
            </w:pPr>
            <w:r w:rsidRPr="009530CF">
              <w:rPr>
                <w:u w:val="single"/>
              </w:rPr>
              <w:t>See</w:t>
            </w:r>
            <w:r w:rsidRPr="009530CF">
              <w:t xml:space="preserve"> Penn Power</w:t>
            </w:r>
            <w:r w:rsidR="007F0287">
              <w:t xml:space="preserve">’s Initial </w:t>
            </w:r>
            <w:r w:rsidRPr="009530CF">
              <w:t xml:space="preserve">Plan at PUC Table 5; PUC Table 2; St. 3, </w:t>
            </w:r>
            <w:r w:rsidR="007F0287">
              <w:t xml:space="preserve">FirstEnergy </w:t>
            </w:r>
            <w:r w:rsidRPr="009530CF">
              <w:t xml:space="preserve">Exh. 4, page 3. </w:t>
            </w:r>
            <w:r w:rsidRPr="009530CF">
              <w:rPr>
                <w:u w:val="single"/>
              </w:rPr>
              <w:t>See</w:t>
            </w:r>
            <w:r w:rsidRPr="009530CF">
              <w:t xml:space="preserve"> </w:t>
            </w:r>
            <w:r w:rsidRPr="009530CF">
              <w:rPr>
                <w:u w:val="single"/>
              </w:rPr>
              <w:t>also</w:t>
            </w:r>
            <w:r w:rsidRPr="009530CF">
              <w:t xml:space="preserve"> FirstEnergy Petition at 12.</w:t>
            </w:r>
          </w:p>
        </w:tc>
      </w:tr>
      <w:tr w:rsidR="00892629" w:rsidRPr="009530CF" w:rsidTr="004D7103">
        <w:tc>
          <w:tcPr>
            <w:tcW w:w="9576" w:type="dxa"/>
            <w:gridSpan w:val="12"/>
            <w:tcBorders>
              <w:top w:val="single" w:sz="4" w:space="0" w:color="000000"/>
              <w:left w:val="single" w:sz="4" w:space="0" w:color="000000"/>
              <w:bottom w:val="single" w:sz="4" w:space="0" w:color="000000"/>
              <w:right w:val="single" w:sz="4" w:space="0" w:color="000000"/>
            </w:tcBorders>
            <w:shd w:val="clear" w:color="auto" w:fill="C0C0C0"/>
          </w:tcPr>
          <w:p w:rsidR="00892629" w:rsidRPr="009530CF" w:rsidRDefault="00892629" w:rsidP="004D7103">
            <w:pPr>
              <w:pBdr>
                <w:top w:val="single" w:sz="4" w:space="1" w:color="auto"/>
                <w:left w:val="single" w:sz="4" w:space="4" w:color="auto"/>
                <w:bottom w:val="single" w:sz="4" w:space="1" w:color="auto"/>
                <w:right w:val="single" w:sz="4" w:space="4" w:color="auto"/>
              </w:pBdr>
              <w:shd w:val="clear" w:color="auto" w:fill="C0C0C0"/>
              <w:jc w:val="both"/>
              <w:rPr>
                <w:b/>
                <w:u w:val="single"/>
              </w:rPr>
            </w:pPr>
          </w:p>
          <w:p w:rsidR="00892629" w:rsidRPr="009530CF" w:rsidRDefault="00892629" w:rsidP="004D7103">
            <w:pPr>
              <w:pBdr>
                <w:top w:val="single" w:sz="4" w:space="1" w:color="auto"/>
                <w:left w:val="single" w:sz="4" w:space="4" w:color="auto"/>
                <w:bottom w:val="single" w:sz="4" w:space="1" w:color="auto"/>
                <w:right w:val="single" w:sz="4" w:space="4" w:color="auto"/>
              </w:pBdr>
              <w:shd w:val="clear" w:color="auto" w:fill="C0C0C0"/>
              <w:jc w:val="both"/>
            </w:pPr>
            <w:r w:rsidRPr="009530CF">
              <w:rPr>
                <w:b/>
                <w:u w:val="single"/>
              </w:rPr>
              <w:t>Total Bill Impact Of Proposed EEC-C</w:t>
            </w:r>
          </w:p>
        </w:tc>
      </w:tr>
      <w:tr w:rsidR="00892629" w:rsidRPr="009530CF" w:rsidTr="004D7103">
        <w:tc>
          <w:tcPr>
            <w:tcW w:w="2394" w:type="dxa"/>
            <w:gridSpan w:val="3"/>
            <w:tcBorders>
              <w:top w:val="single" w:sz="4" w:space="0" w:color="000000"/>
              <w:left w:val="single" w:sz="4" w:space="0" w:color="000000"/>
              <w:bottom w:val="single" w:sz="4" w:space="0" w:color="000000"/>
              <w:right w:val="single" w:sz="4" w:space="0" w:color="000000"/>
            </w:tcBorders>
          </w:tcPr>
          <w:p w:rsidR="00892629" w:rsidRPr="009530CF" w:rsidRDefault="00892629" w:rsidP="004D7103">
            <w:pPr>
              <w:shd w:val="clear" w:color="auto" w:fill="FFFFFF"/>
              <w:jc w:val="both"/>
            </w:pP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Average kWh Usage</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Dollar Increase</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 Increase Total Bill</w:t>
            </w:r>
          </w:p>
        </w:tc>
      </w:tr>
      <w:tr w:rsidR="00892629" w:rsidRPr="009530CF" w:rsidTr="004D7103">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RS</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870</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1.95</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1.48%</w:t>
            </w:r>
          </w:p>
        </w:tc>
      </w:tr>
      <w:tr w:rsidR="00892629" w:rsidRPr="009530CF" w:rsidTr="004D7103">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GSVF (volunteer fire)</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2400</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5.36</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1.54%</w:t>
            </w:r>
          </w:p>
        </w:tc>
      </w:tr>
      <w:tr w:rsidR="00892629" w:rsidRPr="009530CF" w:rsidTr="004D7103">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GS</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2250</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2.59</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1.32%</w:t>
            </w:r>
          </w:p>
        </w:tc>
      </w:tr>
      <w:tr w:rsidR="00892629" w:rsidRPr="009530CF" w:rsidTr="004D7103">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GM</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58200</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67.04</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1.33%</w:t>
            </w:r>
          </w:p>
        </w:tc>
      </w:tr>
      <w:tr w:rsidR="00892629" w:rsidRPr="009530CF" w:rsidTr="004D7103">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GT</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2772000</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2943.32</w:t>
            </w:r>
          </w:p>
        </w:tc>
        <w:tc>
          <w:tcPr>
            <w:tcW w:w="2394" w:type="dxa"/>
            <w:gridSpan w:val="3"/>
            <w:tcBorders>
              <w:top w:val="single" w:sz="4" w:space="0" w:color="000000"/>
              <w:left w:val="single" w:sz="4" w:space="0" w:color="000000"/>
              <w:bottom w:val="single" w:sz="4" w:space="0" w:color="000000"/>
              <w:right w:val="single" w:sz="4" w:space="0" w:color="000000"/>
            </w:tcBorders>
            <w:hideMark/>
          </w:tcPr>
          <w:p w:rsidR="00892629" w:rsidRPr="009530CF" w:rsidRDefault="00892629" w:rsidP="004D7103">
            <w:pPr>
              <w:shd w:val="clear" w:color="auto" w:fill="FFFFFF"/>
              <w:jc w:val="both"/>
            </w:pPr>
            <w:r w:rsidRPr="009530CF">
              <w:t>1.18%</w:t>
            </w:r>
          </w:p>
        </w:tc>
      </w:tr>
    </w:tbl>
    <w:p w:rsidR="00892629" w:rsidRPr="009530CF" w:rsidRDefault="00892629" w:rsidP="00892629">
      <w:pPr>
        <w:pBdr>
          <w:top w:val="single" w:sz="4" w:space="1" w:color="auto"/>
          <w:left w:val="single" w:sz="4" w:space="4" w:color="auto"/>
          <w:bottom w:val="single" w:sz="4" w:space="1" w:color="auto"/>
          <w:right w:val="single" w:sz="4" w:space="4" w:color="auto"/>
        </w:pBdr>
        <w:shd w:val="clear" w:color="auto" w:fill="C0C0C0"/>
        <w:jc w:val="both"/>
      </w:pPr>
      <w:r w:rsidRPr="009530CF">
        <w:rPr>
          <w:u w:val="single"/>
        </w:rPr>
        <w:t>See</w:t>
      </w:r>
      <w:r w:rsidRPr="009530CF">
        <w:t xml:space="preserve"> OCA St. 1 at 42; OCA Cross Exam Exh. 1.</w:t>
      </w:r>
    </w:p>
    <w:p w:rsidR="00892629" w:rsidRPr="009530CF" w:rsidRDefault="00892629" w:rsidP="00892629">
      <w:pPr>
        <w:autoSpaceDE w:val="0"/>
        <w:autoSpaceDN w:val="0"/>
        <w:adjustRightInd w:val="0"/>
        <w:ind w:firstLine="720"/>
        <w:jc w:val="both"/>
      </w:pPr>
    </w:p>
    <w:p w:rsidR="00892629" w:rsidRPr="009530CF" w:rsidRDefault="00892629" w:rsidP="00892629">
      <w:pPr>
        <w:autoSpaceDE w:val="0"/>
        <w:autoSpaceDN w:val="0"/>
        <w:adjustRightInd w:val="0"/>
        <w:spacing w:line="360" w:lineRule="auto"/>
        <w:ind w:firstLine="1440"/>
        <w:rPr>
          <w:sz w:val="26"/>
          <w:szCs w:val="26"/>
        </w:rPr>
      </w:pPr>
      <w:r w:rsidRPr="009530CF">
        <w:rPr>
          <w:sz w:val="26"/>
          <w:szCs w:val="26"/>
        </w:rPr>
        <w:t>For Penn Power, as the above tables illustrate, nearl</w:t>
      </w:r>
      <w:r w:rsidR="00384BDF">
        <w:rPr>
          <w:sz w:val="26"/>
          <w:szCs w:val="26"/>
        </w:rPr>
        <w:t>y 52% of the total Plan budget wa</w:t>
      </w:r>
      <w:r w:rsidRPr="009530CF">
        <w:rPr>
          <w:sz w:val="26"/>
          <w:szCs w:val="26"/>
        </w:rPr>
        <w:t xml:space="preserve">s to be spent on residential programs that produce a cost/benefit ratio of 1.95 (excluding </w:t>
      </w:r>
      <w:r w:rsidR="00384BDF">
        <w:rPr>
          <w:sz w:val="26"/>
          <w:szCs w:val="26"/>
        </w:rPr>
        <w:t xml:space="preserve">programs for </w:t>
      </w:r>
      <w:r w:rsidR="003A49E6">
        <w:rPr>
          <w:sz w:val="26"/>
          <w:szCs w:val="26"/>
        </w:rPr>
        <w:t>low-income</w:t>
      </w:r>
      <w:r w:rsidR="00384BDF">
        <w:rPr>
          <w:sz w:val="26"/>
          <w:szCs w:val="26"/>
        </w:rPr>
        <w:t xml:space="preserve"> households</w:t>
      </w:r>
      <w:r w:rsidRPr="009530CF">
        <w:rPr>
          <w:sz w:val="26"/>
          <w:szCs w:val="26"/>
        </w:rPr>
        <w:t xml:space="preserve">, which </w:t>
      </w:r>
      <w:r w:rsidR="00384BDF">
        <w:rPr>
          <w:sz w:val="26"/>
          <w:szCs w:val="26"/>
        </w:rPr>
        <w:t>have a cost/benefit ratio of</w:t>
      </w:r>
      <w:r w:rsidRPr="009530CF">
        <w:rPr>
          <w:sz w:val="26"/>
          <w:szCs w:val="26"/>
        </w:rPr>
        <w:t xml:space="preserve"> 2.05).  </w:t>
      </w:r>
      <w:r w:rsidR="00384BDF">
        <w:rPr>
          <w:sz w:val="26"/>
          <w:szCs w:val="26"/>
        </w:rPr>
        <w:t>Much of that spending, though, wa</w:t>
      </w:r>
      <w:r w:rsidRPr="009530CF">
        <w:rPr>
          <w:sz w:val="26"/>
          <w:szCs w:val="26"/>
        </w:rPr>
        <w:t xml:space="preserve">s related to the Residential Direct Load Control Program.  </w:t>
      </w:r>
      <w:r w:rsidR="00384BDF">
        <w:rPr>
          <w:sz w:val="26"/>
        </w:rPr>
        <w:t>Again, t</w:t>
      </w:r>
      <w:r w:rsidR="00384BDF" w:rsidRPr="009530CF">
        <w:rPr>
          <w:sz w:val="26"/>
        </w:rPr>
        <w:t xml:space="preserve">he </w:t>
      </w:r>
      <w:r w:rsidR="00384BDF">
        <w:rPr>
          <w:sz w:val="26"/>
        </w:rPr>
        <w:t xml:space="preserve">OCA contended that the Initial Plan included spending for the Residential Direct Load </w:t>
      </w:r>
      <w:r w:rsidR="001C010A">
        <w:rPr>
          <w:sz w:val="26"/>
        </w:rPr>
        <w:t xml:space="preserve">Control </w:t>
      </w:r>
      <w:r w:rsidR="00384BDF">
        <w:rPr>
          <w:sz w:val="26"/>
        </w:rPr>
        <w:t xml:space="preserve">Program that would not occur during the period covered by that Plan. </w:t>
      </w:r>
      <w:r w:rsidR="00834DB4">
        <w:rPr>
          <w:sz w:val="26"/>
          <w:szCs w:val="26"/>
        </w:rPr>
        <w:t>The OCA recommended</w:t>
      </w:r>
      <w:r w:rsidRPr="009530CF">
        <w:rPr>
          <w:sz w:val="26"/>
          <w:szCs w:val="26"/>
        </w:rPr>
        <w:t xml:space="preserve"> that Penn Power consider redirecting some of the funding that was incorrectly included in the Residential Direct Load Control Program budget to achieve a better balance and better targeting of the efficiency dollars. </w:t>
      </w:r>
      <w:r w:rsidR="002D06B6">
        <w:rPr>
          <w:sz w:val="26"/>
          <w:szCs w:val="26"/>
        </w:rPr>
        <w:t>OCA MB at 20.</w:t>
      </w:r>
    </w:p>
    <w:p w:rsidR="00892629" w:rsidRPr="009530CF" w:rsidRDefault="00892629" w:rsidP="00892629">
      <w:pPr>
        <w:autoSpaceDE w:val="0"/>
        <w:autoSpaceDN w:val="0"/>
        <w:adjustRightInd w:val="0"/>
        <w:spacing w:line="360" w:lineRule="auto"/>
        <w:ind w:firstLine="720"/>
        <w:jc w:val="both"/>
        <w:rPr>
          <w:sz w:val="26"/>
          <w:szCs w:val="26"/>
        </w:rPr>
      </w:pPr>
    </w:p>
    <w:p w:rsidR="00892629" w:rsidRPr="009530CF" w:rsidRDefault="00892629" w:rsidP="00892629">
      <w:pPr>
        <w:spacing w:line="360" w:lineRule="auto"/>
        <w:ind w:firstLine="1440"/>
        <w:rPr>
          <w:sz w:val="26"/>
          <w:szCs w:val="26"/>
        </w:rPr>
      </w:pPr>
      <w:r w:rsidRPr="009530CF">
        <w:rPr>
          <w:sz w:val="26"/>
          <w:szCs w:val="26"/>
        </w:rPr>
        <w:t>The Companies accepted the adjustment of OCA witness Hill (with minor modifications) and removed from their budgets</w:t>
      </w:r>
      <w:r w:rsidR="00834DB4">
        <w:rPr>
          <w:sz w:val="26"/>
          <w:szCs w:val="26"/>
        </w:rPr>
        <w:t xml:space="preserve"> the costs associated with the Residential D</w:t>
      </w:r>
      <w:r w:rsidRPr="009530CF">
        <w:rPr>
          <w:sz w:val="26"/>
          <w:szCs w:val="26"/>
        </w:rPr>
        <w:t xml:space="preserve">irect </w:t>
      </w:r>
      <w:r w:rsidR="00834DB4">
        <w:rPr>
          <w:sz w:val="26"/>
          <w:szCs w:val="26"/>
        </w:rPr>
        <w:t>L</w:t>
      </w:r>
      <w:r w:rsidRPr="009530CF">
        <w:rPr>
          <w:sz w:val="26"/>
          <w:szCs w:val="26"/>
        </w:rPr>
        <w:t xml:space="preserve">oad </w:t>
      </w:r>
      <w:r w:rsidR="00834DB4">
        <w:rPr>
          <w:sz w:val="26"/>
          <w:szCs w:val="26"/>
        </w:rPr>
        <w:t>C</w:t>
      </w:r>
      <w:r w:rsidRPr="009530CF">
        <w:rPr>
          <w:sz w:val="26"/>
          <w:szCs w:val="26"/>
        </w:rPr>
        <w:t xml:space="preserve">ontrol </w:t>
      </w:r>
      <w:r w:rsidR="00834DB4">
        <w:rPr>
          <w:sz w:val="26"/>
          <w:szCs w:val="26"/>
        </w:rPr>
        <w:t xml:space="preserve">Program </w:t>
      </w:r>
      <w:r w:rsidRPr="009530CF">
        <w:rPr>
          <w:sz w:val="26"/>
          <w:szCs w:val="26"/>
        </w:rPr>
        <w:t xml:space="preserve">from the years 2014 to 2024.  OCA St. 1 at 31; </w:t>
      </w:r>
      <w:r w:rsidR="00834DB4">
        <w:rPr>
          <w:sz w:val="26"/>
          <w:szCs w:val="26"/>
        </w:rPr>
        <w:t xml:space="preserve">FirstEnergy </w:t>
      </w:r>
      <w:r w:rsidRPr="009530CF">
        <w:rPr>
          <w:sz w:val="26"/>
          <w:szCs w:val="26"/>
        </w:rPr>
        <w:t>St. 2</w:t>
      </w:r>
      <w:r w:rsidR="00834DB4">
        <w:rPr>
          <w:sz w:val="26"/>
          <w:szCs w:val="26"/>
        </w:rPr>
        <w:t>-</w:t>
      </w:r>
      <w:r w:rsidRPr="009530CF">
        <w:rPr>
          <w:sz w:val="26"/>
          <w:szCs w:val="26"/>
        </w:rPr>
        <w:t>R at 4-5.  The Companies have reduced the budget for Residential D</w:t>
      </w:r>
      <w:r w:rsidR="00834DB4">
        <w:rPr>
          <w:sz w:val="26"/>
          <w:szCs w:val="26"/>
        </w:rPr>
        <w:t xml:space="preserve">irect </w:t>
      </w:r>
      <w:r w:rsidRPr="009530CF">
        <w:rPr>
          <w:sz w:val="26"/>
          <w:szCs w:val="26"/>
        </w:rPr>
        <w:t>L</w:t>
      </w:r>
      <w:r w:rsidR="00834DB4">
        <w:rPr>
          <w:sz w:val="26"/>
          <w:szCs w:val="26"/>
        </w:rPr>
        <w:t xml:space="preserve">oad </w:t>
      </w:r>
      <w:r w:rsidRPr="009530CF">
        <w:rPr>
          <w:sz w:val="26"/>
          <w:szCs w:val="26"/>
        </w:rPr>
        <w:t>C</w:t>
      </w:r>
      <w:r w:rsidR="00834DB4">
        <w:rPr>
          <w:sz w:val="26"/>
          <w:szCs w:val="26"/>
        </w:rPr>
        <w:t>osts</w:t>
      </w:r>
      <w:r w:rsidRPr="009530CF">
        <w:rPr>
          <w:sz w:val="26"/>
          <w:szCs w:val="26"/>
        </w:rPr>
        <w:t xml:space="preserve"> for the Plan </w:t>
      </w:r>
      <w:r w:rsidR="00834DB4">
        <w:rPr>
          <w:sz w:val="26"/>
          <w:szCs w:val="26"/>
        </w:rPr>
        <w:t>p</w:t>
      </w:r>
      <w:r w:rsidRPr="009530CF">
        <w:rPr>
          <w:sz w:val="26"/>
          <w:szCs w:val="26"/>
        </w:rPr>
        <w:t>eriod by approximately $12 million for Met</w:t>
      </w:r>
      <w:r w:rsidR="00FD03CF">
        <w:rPr>
          <w:sz w:val="26"/>
          <w:szCs w:val="26"/>
        </w:rPr>
        <w:t xml:space="preserve"> </w:t>
      </w:r>
      <w:r w:rsidRPr="009530CF">
        <w:rPr>
          <w:sz w:val="26"/>
          <w:szCs w:val="26"/>
        </w:rPr>
        <w:t xml:space="preserve">Ed, approximately $12.5 million for Penelec and approximately $1 million for Penn Power.  </w:t>
      </w:r>
      <w:r w:rsidR="00AB2F18">
        <w:rPr>
          <w:sz w:val="26"/>
          <w:szCs w:val="26"/>
        </w:rPr>
        <w:t>FirstEnergy St.</w:t>
      </w:r>
      <w:r w:rsidR="00834DB4">
        <w:rPr>
          <w:sz w:val="26"/>
          <w:szCs w:val="26"/>
        </w:rPr>
        <w:br/>
        <w:t xml:space="preserve"> 2-R at 4-5</w:t>
      </w:r>
      <w:r w:rsidRPr="009530CF">
        <w:rPr>
          <w:sz w:val="26"/>
          <w:szCs w:val="26"/>
        </w:rPr>
        <w:t>.</w:t>
      </w:r>
      <w:r w:rsidR="009D021F">
        <w:rPr>
          <w:sz w:val="26"/>
          <w:szCs w:val="26"/>
        </w:rPr>
        <w:t xml:space="preserve">  </w:t>
      </w:r>
      <w:r w:rsidRPr="009530CF">
        <w:rPr>
          <w:sz w:val="26"/>
          <w:szCs w:val="26"/>
        </w:rPr>
        <w:t xml:space="preserve">The Companies state that the funds have been reallocated for additional </w:t>
      </w:r>
      <w:r w:rsidR="003A49E6">
        <w:rPr>
          <w:sz w:val="26"/>
          <w:szCs w:val="26"/>
        </w:rPr>
        <w:t>low-income</w:t>
      </w:r>
      <w:r w:rsidRPr="009530CF">
        <w:rPr>
          <w:sz w:val="26"/>
          <w:szCs w:val="26"/>
        </w:rPr>
        <w:t xml:space="preserve"> programs; enhanced evaluation, measurement and verification processes; and a contingency reserve for unforeseen events that may arise during the period in which the Plans are in effect.  </w:t>
      </w:r>
      <w:r w:rsidR="009D021F">
        <w:rPr>
          <w:sz w:val="26"/>
          <w:szCs w:val="26"/>
        </w:rPr>
        <w:t xml:space="preserve">FirstEnergy </w:t>
      </w:r>
      <w:r w:rsidRPr="009530CF">
        <w:rPr>
          <w:sz w:val="26"/>
          <w:szCs w:val="26"/>
        </w:rPr>
        <w:t>RB at 3</w:t>
      </w:r>
      <w:r w:rsidR="009D021F">
        <w:rPr>
          <w:sz w:val="26"/>
          <w:szCs w:val="26"/>
        </w:rPr>
        <w:t>.</w:t>
      </w:r>
    </w:p>
    <w:p w:rsidR="00892629" w:rsidRPr="009530CF" w:rsidRDefault="00892629" w:rsidP="00892629">
      <w:pPr>
        <w:spacing w:line="360" w:lineRule="auto"/>
        <w:ind w:firstLine="720"/>
        <w:jc w:val="both"/>
        <w:rPr>
          <w:sz w:val="26"/>
          <w:szCs w:val="26"/>
        </w:rPr>
      </w:pPr>
    </w:p>
    <w:p w:rsidR="008E7C8E" w:rsidRPr="008E7C8E" w:rsidRDefault="008E7C8E" w:rsidP="00940B59">
      <w:pPr>
        <w:pStyle w:val="Heading4"/>
      </w:pPr>
      <w:bookmarkStart w:id="44" w:name="_Toc242516235"/>
      <w:bookmarkStart w:id="45" w:name="_Toc244499291"/>
      <w:r>
        <w:t>b.</w:t>
      </w:r>
      <w:r w:rsidR="00B6382E">
        <w:t xml:space="preserve">  </w:t>
      </w:r>
      <w:r w:rsidR="006F4B78">
        <w:tab/>
      </w:r>
      <w:r w:rsidRPr="008E7C8E">
        <w:t>Disposition</w:t>
      </w:r>
      <w:bookmarkEnd w:id="44"/>
      <w:bookmarkEnd w:id="45"/>
    </w:p>
    <w:p w:rsidR="0029321C" w:rsidRDefault="0029321C" w:rsidP="0029321C">
      <w:pPr>
        <w:spacing w:line="360" w:lineRule="auto"/>
        <w:ind w:firstLine="1440"/>
        <w:rPr>
          <w:sz w:val="26"/>
          <w:szCs w:val="26"/>
        </w:rPr>
      </w:pPr>
    </w:p>
    <w:p w:rsidR="001B5DD6" w:rsidRPr="009530CF" w:rsidRDefault="001B5DD6" w:rsidP="001B5DD6">
      <w:pPr>
        <w:spacing w:line="360" w:lineRule="auto"/>
        <w:ind w:firstLine="1440"/>
        <w:rPr>
          <w:sz w:val="26"/>
        </w:rPr>
      </w:pPr>
      <w:r w:rsidRPr="009530CF">
        <w:rPr>
          <w:sz w:val="26"/>
          <w:szCs w:val="26"/>
        </w:rPr>
        <w:t xml:space="preserve">We </w:t>
      </w:r>
      <w:r>
        <w:rPr>
          <w:sz w:val="26"/>
          <w:szCs w:val="26"/>
        </w:rPr>
        <w:t xml:space="preserve">conclude </w:t>
      </w:r>
      <w:r w:rsidRPr="009530CF">
        <w:rPr>
          <w:sz w:val="26"/>
          <w:szCs w:val="26"/>
        </w:rPr>
        <w:t>that</w:t>
      </w:r>
      <w:r>
        <w:rPr>
          <w:sz w:val="26"/>
          <w:szCs w:val="26"/>
        </w:rPr>
        <w:t xml:space="preserve"> t</w:t>
      </w:r>
      <w:r w:rsidRPr="009530CF">
        <w:rPr>
          <w:sz w:val="26"/>
          <w:szCs w:val="26"/>
        </w:rPr>
        <w:t xml:space="preserve">he </w:t>
      </w:r>
      <w:r>
        <w:rPr>
          <w:sz w:val="26"/>
          <w:szCs w:val="26"/>
        </w:rPr>
        <w:t>Companies’ Plans meet the requirement</w:t>
      </w:r>
      <w:r w:rsidRPr="009530CF">
        <w:rPr>
          <w:sz w:val="26"/>
          <w:szCs w:val="26"/>
        </w:rPr>
        <w:t xml:space="preserve"> of the Act to provide a variety of measures to all customer classes in an equitable manner.  The record evidence shows that t</w:t>
      </w:r>
      <w:r w:rsidRPr="009530CF">
        <w:rPr>
          <w:sz w:val="26"/>
        </w:rPr>
        <w:t xml:space="preserve">he </w:t>
      </w:r>
      <w:r>
        <w:rPr>
          <w:sz w:val="26"/>
        </w:rPr>
        <w:t>Plans contain nineteen</w:t>
      </w:r>
      <w:r w:rsidRPr="009530CF">
        <w:rPr>
          <w:sz w:val="26"/>
        </w:rPr>
        <w:t xml:space="preserve"> different pro</w:t>
      </w:r>
      <w:r w:rsidR="00E57B9D">
        <w:rPr>
          <w:sz w:val="26"/>
        </w:rPr>
        <w:t xml:space="preserve">grams distributed across all </w:t>
      </w:r>
      <w:r w:rsidRPr="009530CF">
        <w:rPr>
          <w:sz w:val="26"/>
        </w:rPr>
        <w:t xml:space="preserve">customer classes.  The Companies have provided at least one energy efficiency program </w:t>
      </w:r>
      <w:r w:rsidRPr="009530CF">
        <w:rPr>
          <w:sz w:val="26"/>
        </w:rPr>
        <w:lastRenderedPageBreak/>
        <w:t xml:space="preserve">and one demand response program for each class in accordance with the Commission’s </w:t>
      </w:r>
      <w:r w:rsidRPr="001B5DD6">
        <w:rPr>
          <w:i/>
          <w:sz w:val="26"/>
        </w:rPr>
        <w:t>Implementation Order</w:t>
      </w:r>
      <w:r w:rsidRPr="009530CF">
        <w:rPr>
          <w:sz w:val="26"/>
        </w:rPr>
        <w:t>.</w:t>
      </w:r>
      <w:r w:rsidR="00C3650A">
        <w:rPr>
          <w:sz w:val="26"/>
        </w:rPr>
        <w:t xml:space="preserve">  </w:t>
      </w:r>
      <w:r w:rsidRPr="009530CF">
        <w:rPr>
          <w:sz w:val="26"/>
        </w:rPr>
        <w:t xml:space="preserve">Further, we </w:t>
      </w:r>
      <w:r>
        <w:rPr>
          <w:sz w:val="26"/>
        </w:rPr>
        <w:t xml:space="preserve">find </w:t>
      </w:r>
      <w:r w:rsidRPr="009530CF">
        <w:rPr>
          <w:sz w:val="26"/>
        </w:rPr>
        <w:t xml:space="preserve">that the reallocation of funds by the Companies sufficiently addresses the concerns outlined </w:t>
      </w:r>
      <w:r>
        <w:rPr>
          <w:sz w:val="26"/>
        </w:rPr>
        <w:t xml:space="preserve">by </w:t>
      </w:r>
      <w:r w:rsidRPr="009530CF">
        <w:rPr>
          <w:sz w:val="26"/>
        </w:rPr>
        <w:t>the OCA concerning the Residential Direct Load</w:t>
      </w:r>
      <w:r>
        <w:rPr>
          <w:sz w:val="26"/>
        </w:rPr>
        <w:t xml:space="preserve"> Control Program</w:t>
      </w:r>
      <w:r w:rsidRPr="009530CF">
        <w:rPr>
          <w:sz w:val="26"/>
        </w:rPr>
        <w:t>.  Therefore, we conclude that the Companies</w:t>
      </w:r>
      <w:r>
        <w:rPr>
          <w:sz w:val="26"/>
        </w:rPr>
        <w:t>’ P</w:t>
      </w:r>
      <w:r w:rsidRPr="009530CF">
        <w:rPr>
          <w:sz w:val="26"/>
        </w:rPr>
        <w:t xml:space="preserve">lans comply with the provisions of </w:t>
      </w:r>
      <w:r w:rsidRPr="009530CF">
        <w:rPr>
          <w:sz w:val="26"/>
          <w:szCs w:val="26"/>
        </w:rPr>
        <w:t>66 Pa. C.S.§ 2806.1(a)(5).</w:t>
      </w:r>
    </w:p>
    <w:p w:rsidR="001B5DD6" w:rsidRDefault="001B5DD6" w:rsidP="0029321C">
      <w:pPr>
        <w:spacing w:line="360" w:lineRule="auto"/>
        <w:ind w:firstLine="1440"/>
        <w:rPr>
          <w:sz w:val="26"/>
          <w:szCs w:val="26"/>
        </w:rPr>
      </w:pPr>
    </w:p>
    <w:p w:rsidR="0029321C" w:rsidRPr="00FF0956" w:rsidRDefault="00B6382E" w:rsidP="00940B59">
      <w:pPr>
        <w:pStyle w:val="Heading3"/>
      </w:pPr>
      <w:bookmarkStart w:id="46" w:name="_Toc242516236"/>
      <w:bookmarkStart w:id="47" w:name="_Toc244499292"/>
      <w:r>
        <w:t xml:space="preserve">4.  </w:t>
      </w:r>
      <w:r w:rsidR="006F4B78">
        <w:tab/>
      </w:r>
      <w:r w:rsidR="0029321C" w:rsidRPr="00FF0956">
        <w:t>Ten Percent Government/Non-Profit Requirement</w:t>
      </w:r>
      <w:bookmarkEnd w:id="46"/>
      <w:bookmarkEnd w:id="47"/>
    </w:p>
    <w:p w:rsidR="004177CF" w:rsidRDefault="004177CF" w:rsidP="008E7C8E">
      <w:pPr>
        <w:spacing w:line="360" w:lineRule="auto"/>
        <w:ind w:firstLine="2160"/>
        <w:rPr>
          <w:sz w:val="26"/>
          <w:szCs w:val="26"/>
        </w:rPr>
      </w:pPr>
    </w:p>
    <w:p w:rsidR="00DC189D" w:rsidRPr="00EA25E3" w:rsidRDefault="00DC189D" w:rsidP="00DC189D">
      <w:pPr>
        <w:spacing w:line="360" w:lineRule="auto"/>
        <w:ind w:firstLine="1440"/>
        <w:rPr>
          <w:sz w:val="26"/>
          <w:szCs w:val="26"/>
        </w:rPr>
      </w:pPr>
      <w:r w:rsidRPr="00EA25E3">
        <w:rPr>
          <w:sz w:val="26"/>
          <w:szCs w:val="26"/>
        </w:rPr>
        <w:t>The Act requires that “a minimum of 10% of the required reductions in consumption . . . shall be obtained from units of federal, state and local government, including municipalities, school districts, institutions of higher education and nonprofit entities.”  66 Pa. C.S. § 2806.1(b)(1)(i)(B).</w:t>
      </w:r>
      <w:r w:rsidR="00C16B53">
        <w:rPr>
          <w:sz w:val="26"/>
          <w:szCs w:val="26"/>
        </w:rPr>
        <w:t xml:space="preserve">  </w:t>
      </w:r>
    </w:p>
    <w:p w:rsidR="00DC189D" w:rsidRPr="008C19F2" w:rsidRDefault="00DC189D" w:rsidP="008E7C8E">
      <w:pPr>
        <w:spacing w:line="360" w:lineRule="auto"/>
        <w:ind w:firstLine="2160"/>
        <w:rPr>
          <w:sz w:val="26"/>
          <w:szCs w:val="26"/>
        </w:rPr>
      </w:pPr>
    </w:p>
    <w:p w:rsidR="008E7C8E" w:rsidRPr="008E7C8E" w:rsidRDefault="008E7C8E" w:rsidP="00940B59">
      <w:pPr>
        <w:pStyle w:val="Heading4"/>
      </w:pPr>
      <w:bookmarkStart w:id="48" w:name="_Toc242516237"/>
      <w:bookmarkStart w:id="49" w:name="_Toc244499293"/>
      <w:r>
        <w:t>a.</w:t>
      </w:r>
      <w:r w:rsidR="00B6382E">
        <w:t xml:space="preserve">  </w:t>
      </w:r>
      <w:r w:rsidR="006F4B78">
        <w:tab/>
      </w:r>
      <w:r w:rsidRPr="008E7C8E">
        <w:t>Positions of the Parties</w:t>
      </w:r>
      <w:bookmarkEnd w:id="48"/>
      <w:bookmarkEnd w:id="49"/>
    </w:p>
    <w:p w:rsidR="008E7C8E" w:rsidRDefault="008E7C8E" w:rsidP="008E7C8E">
      <w:pPr>
        <w:spacing w:line="360" w:lineRule="auto"/>
        <w:ind w:firstLine="2880"/>
        <w:rPr>
          <w:sz w:val="26"/>
          <w:szCs w:val="26"/>
        </w:rPr>
      </w:pPr>
    </w:p>
    <w:p w:rsidR="007E6CA8" w:rsidRDefault="00C16B53" w:rsidP="00C16B53">
      <w:pPr>
        <w:spacing w:line="360" w:lineRule="auto"/>
        <w:ind w:firstLine="1440"/>
        <w:rPr>
          <w:sz w:val="26"/>
          <w:szCs w:val="26"/>
        </w:rPr>
      </w:pPr>
      <w:r>
        <w:rPr>
          <w:sz w:val="26"/>
          <w:szCs w:val="26"/>
        </w:rPr>
        <w:t>Each of the Companies’ P</w:t>
      </w:r>
      <w:r w:rsidRPr="00EA25E3">
        <w:rPr>
          <w:sz w:val="26"/>
          <w:szCs w:val="26"/>
        </w:rPr>
        <w:t xml:space="preserve">lans includes programs to address the requirement that a minimum </w:t>
      </w:r>
      <w:r>
        <w:rPr>
          <w:sz w:val="26"/>
          <w:szCs w:val="26"/>
        </w:rPr>
        <w:t xml:space="preserve">of </w:t>
      </w:r>
      <w:r w:rsidR="005C42A9">
        <w:rPr>
          <w:sz w:val="26"/>
          <w:szCs w:val="26"/>
        </w:rPr>
        <w:t>10%</w:t>
      </w:r>
      <w:r>
        <w:rPr>
          <w:sz w:val="26"/>
          <w:szCs w:val="26"/>
        </w:rPr>
        <w:t xml:space="preserve"> </w:t>
      </w:r>
      <w:r w:rsidRPr="00EA25E3">
        <w:rPr>
          <w:sz w:val="26"/>
          <w:szCs w:val="26"/>
        </w:rPr>
        <w:t xml:space="preserve">of the reductions in consumption come from governmental and non-profit entities.  Included in </w:t>
      </w:r>
      <w:r w:rsidR="007E6CA8">
        <w:rPr>
          <w:sz w:val="26"/>
          <w:szCs w:val="26"/>
        </w:rPr>
        <w:t>the</w:t>
      </w:r>
      <w:r w:rsidR="00066C7D">
        <w:rPr>
          <w:sz w:val="26"/>
          <w:szCs w:val="26"/>
        </w:rPr>
        <w:t xml:space="preserve"> Plans is </w:t>
      </w:r>
      <w:r w:rsidRPr="00EA25E3">
        <w:rPr>
          <w:sz w:val="26"/>
          <w:szCs w:val="26"/>
        </w:rPr>
        <w:t>PUC Table 2: Summary of Portfolio Energy and Demand Savings</w:t>
      </w:r>
      <w:r w:rsidR="00066C7D">
        <w:rPr>
          <w:sz w:val="26"/>
          <w:szCs w:val="26"/>
        </w:rPr>
        <w:t>, which</w:t>
      </w:r>
      <w:r w:rsidRPr="00EA25E3">
        <w:rPr>
          <w:sz w:val="26"/>
          <w:szCs w:val="26"/>
        </w:rPr>
        <w:t xml:space="preserve"> show</w:t>
      </w:r>
      <w:r w:rsidR="00066C7D">
        <w:rPr>
          <w:sz w:val="26"/>
          <w:szCs w:val="26"/>
        </w:rPr>
        <w:t>s that the C</w:t>
      </w:r>
      <w:r w:rsidRPr="00EA25E3">
        <w:rPr>
          <w:sz w:val="26"/>
          <w:szCs w:val="26"/>
        </w:rPr>
        <w:t xml:space="preserve">ompanies anticipate their </w:t>
      </w:r>
      <w:r w:rsidR="00E1225D">
        <w:rPr>
          <w:sz w:val="26"/>
          <w:szCs w:val="26"/>
        </w:rPr>
        <w:t xml:space="preserve">Plans </w:t>
      </w:r>
      <w:r w:rsidRPr="00EA25E3">
        <w:rPr>
          <w:sz w:val="26"/>
          <w:szCs w:val="26"/>
        </w:rPr>
        <w:t xml:space="preserve">will exceed the targeted goals for the government/non-profit sector for 2011 and 2013.  </w:t>
      </w:r>
      <w:r w:rsidR="00022AE1">
        <w:rPr>
          <w:sz w:val="26"/>
          <w:szCs w:val="26"/>
        </w:rPr>
        <w:t>FirstEnergy’s September 21, 2009 Plans at Appendix G, Table 2.</w:t>
      </w:r>
    </w:p>
    <w:p w:rsidR="007E6CA8" w:rsidRDefault="007E6CA8" w:rsidP="00C16B53">
      <w:pPr>
        <w:spacing w:line="360" w:lineRule="auto"/>
        <w:ind w:firstLine="1440"/>
        <w:rPr>
          <w:sz w:val="26"/>
          <w:szCs w:val="26"/>
        </w:rPr>
      </w:pPr>
    </w:p>
    <w:p w:rsidR="00C16B53" w:rsidRDefault="00C16B53" w:rsidP="00C16B53">
      <w:pPr>
        <w:spacing w:line="360" w:lineRule="auto"/>
        <w:ind w:firstLine="1440"/>
        <w:rPr>
          <w:sz w:val="26"/>
          <w:szCs w:val="26"/>
        </w:rPr>
      </w:pPr>
      <w:r w:rsidRPr="00EA25E3">
        <w:rPr>
          <w:sz w:val="26"/>
          <w:szCs w:val="26"/>
        </w:rPr>
        <w:t>Programs for the governmental/non-profit sector include the following: (</w:t>
      </w:r>
      <w:r w:rsidR="00122B42">
        <w:rPr>
          <w:sz w:val="26"/>
          <w:szCs w:val="26"/>
        </w:rPr>
        <w:t>1</w:t>
      </w:r>
      <w:r w:rsidR="00BB0053">
        <w:rPr>
          <w:sz w:val="26"/>
          <w:szCs w:val="26"/>
        </w:rPr>
        <w:t>) </w:t>
      </w:r>
      <w:r w:rsidR="00B77556">
        <w:rPr>
          <w:sz w:val="26"/>
          <w:szCs w:val="26"/>
        </w:rPr>
        <w:t xml:space="preserve">the </w:t>
      </w:r>
      <w:r w:rsidRPr="00EA25E3">
        <w:rPr>
          <w:sz w:val="26"/>
          <w:szCs w:val="26"/>
        </w:rPr>
        <w:t>Federal Facilities Program,</w:t>
      </w:r>
      <w:r w:rsidR="007E6CA8">
        <w:rPr>
          <w:sz w:val="26"/>
          <w:szCs w:val="26"/>
        </w:rPr>
        <w:t xml:space="preserve"> which</w:t>
      </w:r>
      <w:r w:rsidRPr="00EA25E3">
        <w:rPr>
          <w:sz w:val="26"/>
          <w:szCs w:val="26"/>
        </w:rPr>
        <w:t xml:space="preserve"> involv</w:t>
      </w:r>
      <w:r w:rsidR="007E6CA8">
        <w:rPr>
          <w:sz w:val="26"/>
          <w:szCs w:val="26"/>
        </w:rPr>
        <w:t>es</w:t>
      </w:r>
      <w:r w:rsidRPr="00EA25E3">
        <w:rPr>
          <w:sz w:val="26"/>
          <w:szCs w:val="26"/>
        </w:rPr>
        <w:t xml:space="preserve"> a feasibility study to ide</w:t>
      </w:r>
      <w:r w:rsidR="00066C7D">
        <w:rPr>
          <w:sz w:val="26"/>
          <w:szCs w:val="26"/>
        </w:rPr>
        <w:t>ntify energy savings opportunities</w:t>
      </w:r>
      <w:r w:rsidR="007E6CA8">
        <w:rPr>
          <w:sz w:val="26"/>
          <w:szCs w:val="26"/>
        </w:rPr>
        <w:t xml:space="preserve"> and provides</w:t>
      </w:r>
      <w:r w:rsidRPr="00EA25E3">
        <w:rPr>
          <w:sz w:val="26"/>
          <w:szCs w:val="26"/>
        </w:rPr>
        <w:t xml:space="preserve"> for </w:t>
      </w:r>
      <w:r w:rsidR="007E6CA8">
        <w:rPr>
          <w:sz w:val="26"/>
          <w:szCs w:val="26"/>
        </w:rPr>
        <w:t xml:space="preserve">the </w:t>
      </w:r>
      <w:r w:rsidRPr="00EA25E3">
        <w:rPr>
          <w:sz w:val="26"/>
          <w:szCs w:val="26"/>
        </w:rPr>
        <w:t xml:space="preserve">implementation </w:t>
      </w:r>
      <w:r w:rsidR="007E6CA8">
        <w:rPr>
          <w:sz w:val="26"/>
          <w:szCs w:val="26"/>
        </w:rPr>
        <w:t>of measures through a CSP; (</w:t>
      </w:r>
      <w:r w:rsidR="00122B42">
        <w:rPr>
          <w:sz w:val="26"/>
          <w:szCs w:val="26"/>
        </w:rPr>
        <w:t>2</w:t>
      </w:r>
      <w:r w:rsidR="007E6CA8">
        <w:rPr>
          <w:sz w:val="26"/>
          <w:szCs w:val="26"/>
        </w:rPr>
        <w:t xml:space="preserve">) </w:t>
      </w:r>
      <w:r w:rsidR="00B77556">
        <w:rPr>
          <w:sz w:val="26"/>
          <w:szCs w:val="26"/>
        </w:rPr>
        <w:t xml:space="preserve">the </w:t>
      </w:r>
      <w:r w:rsidRPr="00EA25E3">
        <w:rPr>
          <w:sz w:val="26"/>
          <w:szCs w:val="26"/>
        </w:rPr>
        <w:t xml:space="preserve">Street Lighting Program, </w:t>
      </w:r>
      <w:r w:rsidR="007E6CA8">
        <w:rPr>
          <w:sz w:val="26"/>
          <w:szCs w:val="26"/>
        </w:rPr>
        <w:t xml:space="preserve">which is </w:t>
      </w:r>
      <w:r w:rsidRPr="00EA25E3">
        <w:rPr>
          <w:sz w:val="26"/>
          <w:szCs w:val="26"/>
        </w:rPr>
        <w:t xml:space="preserve">offered to municipalities for </w:t>
      </w:r>
      <w:r w:rsidR="007E6CA8">
        <w:rPr>
          <w:sz w:val="26"/>
          <w:szCs w:val="26"/>
        </w:rPr>
        <w:t xml:space="preserve">the </w:t>
      </w:r>
      <w:r w:rsidRPr="00EA25E3">
        <w:rPr>
          <w:sz w:val="26"/>
          <w:szCs w:val="26"/>
        </w:rPr>
        <w:t>conversion of street lights t</w:t>
      </w:r>
      <w:r w:rsidR="007E6CA8">
        <w:rPr>
          <w:sz w:val="26"/>
          <w:szCs w:val="26"/>
        </w:rPr>
        <w:t>o high pressure sodium</w:t>
      </w:r>
      <w:r w:rsidR="00122B42">
        <w:rPr>
          <w:sz w:val="26"/>
          <w:szCs w:val="26"/>
        </w:rPr>
        <w:t xml:space="preserve">; </w:t>
      </w:r>
      <w:r w:rsidR="007E6CA8">
        <w:rPr>
          <w:sz w:val="26"/>
          <w:szCs w:val="26"/>
        </w:rPr>
        <w:t>(</w:t>
      </w:r>
      <w:r w:rsidR="00122B42">
        <w:rPr>
          <w:sz w:val="26"/>
          <w:szCs w:val="26"/>
        </w:rPr>
        <w:t>3</w:t>
      </w:r>
      <w:r w:rsidR="007E6CA8">
        <w:rPr>
          <w:sz w:val="26"/>
          <w:szCs w:val="26"/>
        </w:rPr>
        <w:t xml:space="preserve">) </w:t>
      </w:r>
      <w:r w:rsidR="00B77556">
        <w:rPr>
          <w:sz w:val="26"/>
          <w:szCs w:val="26"/>
        </w:rPr>
        <w:t xml:space="preserve">the </w:t>
      </w:r>
      <w:r w:rsidRPr="00EA25E3">
        <w:rPr>
          <w:sz w:val="26"/>
          <w:szCs w:val="26"/>
        </w:rPr>
        <w:t>Traffic Signal Program,</w:t>
      </w:r>
      <w:r w:rsidR="007E6CA8">
        <w:rPr>
          <w:sz w:val="26"/>
          <w:szCs w:val="26"/>
        </w:rPr>
        <w:t xml:space="preserve"> which enables the </w:t>
      </w:r>
      <w:r w:rsidRPr="00EA25E3">
        <w:rPr>
          <w:sz w:val="26"/>
          <w:szCs w:val="26"/>
        </w:rPr>
        <w:t>conversion of traffic signals to LED technology</w:t>
      </w:r>
      <w:r w:rsidR="00122B42">
        <w:rPr>
          <w:sz w:val="26"/>
          <w:szCs w:val="26"/>
        </w:rPr>
        <w:t>;</w:t>
      </w:r>
      <w:r w:rsidR="00122B42" w:rsidRPr="00EA25E3">
        <w:rPr>
          <w:sz w:val="26"/>
          <w:szCs w:val="26"/>
        </w:rPr>
        <w:t xml:space="preserve"> </w:t>
      </w:r>
      <w:r w:rsidRPr="00EA25E3">
        <w:rPr>
          <w:sz w:val="26"/>
          <w:szCs w:val="26"/>
        </w:rPr>
        <w:t>(</w:t>
      </w:r>
      <w:r w:rsidR="00122B42">
        <w:rPr>
          <w:sz w:val="26"/>
          <w:szCs w:val="26"/>
        </w:rPr>
        <w:t>4</w:t>
      </w:r>
      <w:r w:rsidRPr="00EA25E3">
        <w:rPr>
          <w:sz w:val="26"/>
          <w:szCs w:val="26"/>
        </w:rPr>
        <w:t xml:space="preserve">) </w:t>
      </w:r>
      <w:r w:rsidR="00B77556">
        <w:rPr>
          <w:sz w:val="26"/>
          <w:szCs w:val="26"/>
        </w:rPr>
        <w:t xml:space="preserve">the </w:t>
      </w:r>
      <w:r w:rsidRPr="00EA25E3">
        <w:rPr>
          <w:sz w:val="26"/>
          <w:szCs w:val="26"/>
        </w:rPr>
        <w:t xml:space="preserve">Governmental Buildings and Schools Program, </w:t>
      </w:r>
      <w:r w:rsidR="007E6CA8">
        <w:rPr>
          <w:sz w:val="26"/>
          <w:szCs w:val="26"/>
        </w:rPr>
        <w:t xml:space="preserve">which </w:t>
      </w:r>
      <w:r w:rsidRPr="00EA25E3">
        <w:rPr>
          <w:sz w:val="26"/>
          <w:szCs w:val="26"/>
        </w:rPr>
        <w:t>provid</w:t>
      </w:r>
      <w:r w:rsidR="007E6CA8">
        <w:rPr>
          <w:sz w:val="26"/>
          <w:szCs w:val="26"/>
        </w:rPr>
        <w:t>es</w:t>
      </w:r>
      <w:r w:rsidRPr="00EA25E3">
        <w:rPr>
          <w:sz w:val="26"/>
          <w:szCs w:val="26"/>
        </w:rPr>
        <w:t xml:space="preserve"> diagnostic assistance and technical support from a CSP</w:t>
      </w:r>
      <w:r w:rsidR="00E1225D">
        <w:rPr>
          <w:sz w:val="26"/>
          <w:szCs w:val="26"/>
        </w:rPr>
        <w:t xml:space="preserve"> </w:t>
      </w:r>
      <w:r w:rsidR="00E1225D">
        <w:rPr>
          <w:sz w:val="26"/>
          <w:szCs w:val="26"/>
        </w:rPr>
        <w:lastRenderedPageBreak/>
        <w:t xml:space="preserve">as well as </w:t>
      </w:r>
      <w:r w:rsidRPr="00EA25E3">
        <w:rPr>
          <w:sz w:val="26"/>
          <w:szCs w:val="26"/>
        </w:rPr>
        <w:t>rebates for high efficiency measures</w:t>
      </w:r>
      <w:r w:rsidR="00122B42">
        <w:rPr>
          <w:sz w:val="26"/>
          <w:szCs w:val="26"/>
        </w:rPr>
        <w:t>;</w:t>
      </w:r>
      <w:r w:rsidR="00122B42" w:rsidRPr="00EA25E3">
        <w:rPr>
          <w:sz w:val="26"/>
          <w:szCs w:val="26"/>
        </w:rPr>
        <w:t xml:space="preserve"> </w:t>
      </w:r>
      <w:r w:rsidRPr="00EA25E3">
        <w:rPr>
          <w:sz w:val="26"/>
          <w:szCs w:val="26"/>
        </w:rPr>
        <w:t xml:space="preserve">and </w:t>
      </w:r>
      <w:r w:rsidR="00A17480">
        <w:rPr>
          <w:sz w:val="26"/>
          <w:szCs w:val="26"/>
        </w:rPr>
        <w:t>(</w:t>
      </w:r>
      <w:r w:rsidR="00122B42">
        <w:rPr>
          <w:sz w:val="26"/>
          <w:szCs w:val="26"/>
        </w:rPr>
        <w:t>5</w:t>
      </w:r>
      <w:r w:rsidR="00A17480">
        <w:rPr>
          <w:sz w:val="26"/>
          <w:szCs w:val="26"/>
        </w:rPr>
        <w:t xml:space="preserve">) </w:t>
      </w:r>
      <w:r w:rsidR="00122B42">
        <w:rPr>
          <w:sz w:val="26"/>
          <w:szCs w:val="26"/>
        </w:rPr>
        <w:t xml:space="preserve">the </w:t>
      </w:r>
      <w:r w:rsidR="00A17480">
        <w:rPr>
          <w:sz w:val="26"/>
          <w:szCs w:val="26"/>
        </w:rPr>
        <w:t>County and Local Buildings (including s</w:t>
      </w:r>
      <w:r w:rsidRPr="00EA25E3">
        <w:rPr>
          <w:sz w:val="26"/>
          <w:szCs w:val="26"/>
        </w:rPr>
        <w:t>chools</w:t>
      </w:r>
      <w:r w:rsidR="00A17480">
        <w:rPr>
          <w:sz w:val="26"/>
          <w:szCs w:val="26"/>
        </w:rPr>
        <w:t>)</w:t>
      </w:r>
      <w:r w:rsidRPr="00EA25E3">
        <w:rPr>
          <w:sz w:val="26"/>
          <w:szCs w:val="26"/>
        </w:rPr>
        <w:t xml:space="preserve"> Audit Program</w:t>
      </w:r>
      <w:r w:rsidR="00A17480">
        <w:rPr>
          <w:sz w:val="26"/>
          <w:szCs w:val="26"/>
        </w:rPr>
        <w:t>, which</w:t>
      </w:r>
      <w:r w:rsidRPr="00EA25E3">
        <w:rPr>
          <w:sz w:val="26"/>
          <w:szCs w:val="26"/>
        </w:rPr>
        <w:t xml:space="preserve"> provid</w:t>
      </w:r>
      <w:r w:rsidR="00A17480">
        <w:rPr>
          <w:sz w:val="26"/>
          <w:szCs w:val="26"/>
        </w:rPr>
        <w:t>es</w:t>
      </w:r>
      <w:r w:rsidRPr="00EA25E3">
        <w:rPr>
          <w:sz w:val="26"/>
          <w:szCs w:val="26"/>
        </w:rPr>
        <w:t xml:space="preserve"> free audits to increase energy savings from the sector. </w:t>
      </w:r>
    </w:p>
    <w:p w:rsidR="00C16B53" w:rsidRDefault="00C16B53" w:rsidP="00C16B53">
      <w:pPr>
        <w:spacing w:line="360" w:lineRule="auto"/>
        <w:ind w:firstLine="1440"/>
        <w:rPr>
          <w:sz w:val="26"/>
          <w:szCs w:val="26"/>
        </w:rPr>
      </w:pPr>
    </w:p>
    <w:p w:rsidR="00C16B53" w:rsidRPr="00EA25E3" w:rsidRDefault="00C16B53" w:rsidP="00C16B53">
      <w:pPr>
        <w:spacing w:line="360" w:lineRule="auto"/>
        <w:rPr>
          <w:sz w:val="26"/>
          <w:szCs w:val="26"/>
        </w:rPr>
      </w:pPr>
      <w:r w:rsidRPr="00EA25E3">
        <w:rPr>
          <w:sz w:val="26"/>
          <w:szCs w:val="26"/>
        </w:rPr>
        <w:tab/>
      </w:r>
      <w:r w:rsidRPr="00EA25E3">
        <w:rPr>
          <w:sz w:val="26"/>
          <w:szCs w:val="26"/>
        </w:rPr>
        <w:tab/>
      </w:r>
      <w:r w:rsidR="00A17480">
        <w:rPr>
          <w:sz w:val="26"/>
          <w:szCs w:val="26"/>
        </w:rPr>
        <w:t xml:space="preserve">The </w:t>
      </w:r>
      <w:r w:rsidRPr="00EA25E3">
        <w:rPr>
          <w:sz w:val="26"/>
          <w:szCs w:val="26"/>
        </w:rPr>
        <w:t xml:space="preserve">OCA concludes that the Companies’ Plans will meet the minimum requirements for the government/non-profit sector.  In </w:t>
      </w:r>
      <w:r w:rsidR="00A17480">
        <w:rPr>
          <w:sz w:val="26"/>
          <w:szCs w:val="26"/>
        </w:rPr>
        <w:t>its</w:t>
      </w:r>
      <w:r w:rsidRPr="00EA25E3">
        <w:rPr>
          <w:sz w:val="26"/>
          <w:szCs w:val="26"/>
        </w:rPr>
        <w:t xml:space="preserve"> Main Brief</w:t>
      </w:r>
      <w:r w:rsidR="00A17480">
        <w:rPr>
          <w:sz w:val="26"/>
          <w:szCs w:val="26"/>
        </w:rPr>
        <w:t>,</w:t>
      </w:r>
      <w:r w:rsidRPr="00EA25E3">
        <w:rPr>
          <w:sz w:val="26"/>
          <w:szCs w:val="26"/>
        </w:rPr>
        <w:t xml:space="preserve"> </w:t>
      </w:r>
      <w:r w:rsidR="00A17480">
        <w:rPr>
          <w:sz w:val="26"/>
          <w:szCs w:val="26"/>
        </w:rPr>
        <w:t xml:space="preserve">the </w:t>
      </w:r>
      <w:r w:rsidRPr="00EA25E3">
        <w:rPr>
          <w:sz w:val="26"/>
          <w:szCs w:val="26"/>
        </w:rPr>
        <w:t>OCA notes:</w:t>
      </w:r>
    </w:p>
    <w:p w:rsidR="00C16B53" w:rsidRPr="00EA25E3" w:rsidRDefault="00C16B53" w:rsidP="00C16B53">
      <w:pPr>
        <w:rPr>
          <w:sz w:val="26"/>
          <w:szCs w:val="26"/>
        </w:rPr>
      </w:pPr>
    </w:p>
    <w:p w:rsidR="00C16B53" w:rsidRDefault="00C16B53" w:rsidP="00C16B53">
      <w:pPr>
        <w:autoSpaceDE w:val="0"/>
        <w:autoSpaceDN w:val="0"/>
        <w:adjustRightInd w:val="0"/>
        <w:ind w:left="1440" w:right="1440"/>
        <w:rPr>
          <w:sz w:val="26"/>
          <w:szCs w:val="26"/>
        </w:rPr>
      </w:pPr>
      <w:r w:rsidRPr="00EA25E3">
        <w:rPr>
          <w:sz w:val="26"/>
          <w:szCs w:val="26"/>
        </w:rPr>
        <w:tab/>
        <w:t>Met-Ed forecasts that from the government/non-profit sector it will save 21,403 MWh out of its required 2011 MWh reduction target of 148,6</w:t>
      </w:r>
      <w:r w:rsidR="00BB0053">
        <w:rPr>
          <w:sz w:val="26"/>
          <w:szCs w:val="26"/>
        </w:rPr>
        <w:t>50 MWh, and it will save 51,255 </w:t>
      </w:r>
      <w:r w:rsidRPr="00EA25E3">
        <w:rPr>
          <w:sz w:val="26"/>
          <w:szCs w:val="26"/>
        </w:rPr>
        <w:t xml:space="preserve">MWh out of its required 2013 MWH reduction target of 438,718 MWh.  </w:t>
      </w:r>
      <w:r w:rsidRPr="00EA25E3">
        <w:rPr>
          <w:i/>
          <w:sz w:val="26"/>
          <w:szCs w:val="26"/>
        </w:rPr>
        <w:t>See,</w:t>
      </w:r>
      <w:r w:rsidRPr="00EA25E3">
        <w:rPr>
          <w:sz w:val="26"/>
          <w:szCs w:val="26"/>
        </w:rPr>
        <w:t xml:space="preserve"> Met-Ed EE&amp;C Plan at PUC Table 2, page 18.  Penelec forecasts that from the government/non-profit sector it will save 22,0</w:t>
      </w:r>
      <w:r w:rsidR="0045461B">
        <w:rPr>
          <w:sz w:val="26"/>
          <w:szCs w:val="26"/>
        </w:rPr>
        <w:t>26 MWh out of its required 2011 </w:t>
      </w:r>
      <w:r w:rsidRPr="00EA25E3">
        <w:rPr>
          <w:sz w:val="26"/>
          <w:szCs w:val="26"/>
        </w:rPr>
        <w:t xml:space="preserve">MWh reduction target of 143,993 MWh, and it will save 51,594 MWh out of its required 2013 MWH reduction target of 431,979 MWh.  </w:t>
      </w:r>
      <w:r w:rsidRPr="00EA25E3">
        <w:rPr>
          <w:i/>
          <w:sz w:val="26"/>
          <w:szCs w:val="26"/>
        </w:rPr>
        <w:t>See</w:t>
      </w:r>
      <w:r w:rsidRPr="008244C4">
        <w:rPr>
          <w:sz w:val="26"/>
          <w:szCs w:val="26"/>
        </w:rPr>
        <w:t xml:space="preserve">, </w:t>
      </w:r>
      <w:r w:rsidRPr="00EA25E3">
        <w:rPr>
          <w:sz w:val="26"/>
          <w:szCs w:val="26"/>
        </w:rPr>
        <w:t xml:space="preserve">Penelec EE&amp;C Plan at PUC Table 2, page 18.  Penn Power forecasts that from the government/non-profit sector it will save 7,277 MWh out of its required 2011 MWh reduction target of 47,729 MWh, and it will save 16,741 </w:t>
      </w:r>
      <w:r w:rsidR="008244C4">
        <w:rPr>
          <w:sz w:val="26"/>
          <w:szCs w:val="26"/>
        </w:rPr>
        <w:t>MWh out of its required 2013 MWh</w:t>
      </w:r>
      <w:r w:rsidRPr="00EA25E3">
        <w:rPr>
          <w:sz w:val="26"/>
          <w:szCs w:val="26"/>
        </w:rPr>
        <w:t xml:space="preserve"> reduction target of 143,188 MWh.  </w:t>
      </w:r>
      <w:r w:rsidRPr="00EA25E3">
        <w:rPr>
          <w:i/>
          <w:sz w:val="26"/>
          <w:szCs w:val="26"/>
        </w:rPr>
        <w:t>See</w:t>
      </w:r>
      <w:r w:rsidRPr="008244C4">
        <w:rPr>
          <w:sz w:val="26"/>
          <w:szCs w:val="26"/>
        </w:rPr>
        <w:t xml:space="preserve">, </w:t>
      </w:r>
      <w:r w:rsidRPr="00EA25E3">
        <w:rPr>
          <w:sz w:val="26"/>
          <w:szCs w:val="26"/>
        </w:rPr>
        <w:t xml:space="preserve">Penn Power EE&amp;C Plan at PUC Table 2, page 18.  Based on the Tables and descriptions provided in the FirstEnergy Companies’ filings, the Companies will meet the consumption reduction targets required by Act 129.  </w:t>
      </w:r>
      <w:r w:rsidRPr="00EA25E3">
        <w:rPr>
          <w:i/>
          <w:sz w:val="26"/>
          <w:szCs w:val="26"/>
        </w:rPr>
        <w:t>See,</w:t>
      </w:r>
      <w:r w:rsidRPr="00EA25E3">
        <w:rPr>
          <w:sz w:val="26"/>
          <w:szCs w:val="26"/>
        </w:rPr>
        <w:t xml:space="preserve"> FirstEnergy Companies EE&amp;C Plans at PUC Table 2, page 18.</w:t>
      </w:r>
    </w:p>
    <w:p w:rsidR="00E538C7" w:rsidRDefault="00E538C7" w:rsidP="00C16B53">
      <w:pPr>
        <w:autoSpaceDE w:val="0"/>
        <w:autoSpaceDN w:val="0"/>
        <w:adjustRightInd w:val="0"/>
        <w:ind w:left="1440" w:right="1440"/>
        <w:rPr>
          <w:sz w:val="26"/>
          <w:szCs w:val="26"/>
        </w:rPr>
      </w:pPr>
    </w:p>
    <w:p w:rsidR="00E538C7" w:rsidRPr="00EA25E3" w:rsidRDefault="00E538C7" w:rsidP="00C16B53">
      <w:pPr>
        <w:autoSpaceDE w:val="0"/>
        <w:autoSpaceDN w:val="0"/>
        <w:adjustRightInd w:val="0"/>
        <w:ind w:left="1440" w:right="1440"/>
        <w:rPr>
          <w:sz w:val="26"/>
          <w:szCs w:val="26"/>
        </w:rPr>
      </w:pPr>
    </w:p>
    <w:p w:rsidR="00C16B53" w:rsidRPr="00EA25E3" w:rsidRDefault="00E538C7" w:rsidP="00C16B53">
      <w:pPr>
        <w:rPr>
          <w:sz w:val="26"/>
          <w:szCs w:val="26"/>
        </w:rPr>
      </w:pPr>
      <w:r>
        <w:rPr>
          <w:sz w:val="26"/>
          <w:szCs w:val="26"/>
        </w:rPr>
        <w:t>OCA MB</w:t>
      </w:r>
      <w:r w:rsidR="00C16B53" w:rsidRPr="00EA25E3">
        <w:rPr>
          <w:sz w:val="26"/>
          <w:szCs w:val="26"/>
        </w:rPr>
        <w:t xml:space="preserve"> at 21-22.</w:t>
      </w:r>
    </w:p>
    <w:p w:rsidR="00C16B53" w:rsidRDefault="00C16B53" w:rsidP="00C16B53">
      <w:pPr>
        <w:rPr>
          <w:sz w:val="26"/>
          <w:szCs w:val="26"/>
        </w:rPr>
      </w:pPr>
    </w:p>
    <w:p w:rsidR="00B25A91" w:rsidRDefault="00B25A91" w:rsidP="00C16B53">
      <w:pPr>
        <w:spacing w:line="360" w:lineRule="auto"/>
        <w:rPr>
          <w:sz w:val="26"/>
          <w:szCs w:val="26"/>
        </w:rPr>
      </w:pPr>
    </w:p>
    <w:p w:rsidR="00A36172" w:rsidRDefault="00C16B53" w:rsidP="00C16B53">
      <w:pPr>
        <w:spacing w:line="360" w:lineRule="auto"/>
        <w:rPr>
          <w:sz w:val="26"/>
          <w:szCs w:val="26"/>
        </w:rPr>
      </w:pPr>
      <w:r w:rsidRPr="00EA25E3">
        <w:rPr>
          <w:sz w:val="26"/>
          <w:szCs w:val="26"/>
        </w:rPr>
        <w:tab/>
      </w:r>
      <w:r w:rsidRPr="00EA25E3">
        <w:rPr>
          <w:sz w:val="26"/>
          <w:szCs w:val="26"/>
        </w:rPr>
        <w:tab/>
      </w:r>
      <w:r w:rsidR="00246631">
        <w:rPr>
          <w:sz w:val="26"/>
          <w:szCs w:val="26"/>
        </w:rPr>
        <w:t xml:space="preserve">The </w:t>
      </w:r>
      <w:r w:rsidRPr="00EA25E3">
        <w:rPr>
          <w:sz w:val="26"/>
          <w:szCs w:val="26"/>
        </w:rPr>
        <w:t xml:space="preserve">DEP does not </w:t>
      </w:r>
      <w:r w:rsidR="00E538C7">
        <w:rPr>
          <w:sz w:val="26"/>
          <w:szCs w:val="26"/>
        </w:rPr>
        <w:t xml:space="preserve">claim that </w:t>
      </w:r>
      <w:r w:rsidRPr="00EA25E3">
        <w:rPr>
          <w:sz w:val="26"/>
          <w:szCs w:val="26"/>
        </w:rPr>
        <w:t>the Companies</w:t>
      </w:r>
      <w:r w:rsidR="00E538C7">
        <w:rPr>
          <w:sz w:val="26"/>
          <w:szCs w:val="26"/>
        </w:rPr>
        <w:t>’</w:t>
      </w:r>
      <w:r w:rsidRPr="00EA25E3">
        <w:rPr>
          <w:sz w:val="26"/>
          <w:szCs w:val="26"/>
        </w:rPr>
        <w:t xml:space="preserve"> Plans </w:t>
      </w:r>
      <w:r w:rsidR="00E538C7">
        <w:rPr>
          <w:sz w:val="26"/>
          <w:szCs w:val="26"/>
        </w:rPr>
        <w:t xml:space="preserve">fail to </w:t>
      </w:r>
      <w:r w:rsidRPr="00EA25E3">
        <w:rPr>
          <w:sz w:val="26"/>
          <w:szCs w:val="26"/>
        </w:rPr>
        <w:t xml:space="preserve">meet the </w:t>
      </w:r>
      <w:r w:rsidR="005C42A9">
        <w:rPr>
          <w:sz w:val="26"/>
          <w:szCs w:val="26"/>
        </w:rPr>
        <w:t>10%</w:t>
      </w:r>
      <w:r w:rsidR="00E538C7">
        <w:rPr>
          <w:sz w:val="26"/>
          <w:szCs w:val="26"/>
        </w:rPr>
        <w:t xml:space="preserve"> </w:t>
      </w:r>
      <w:r w:rsidRPr="00EA25E3">
        <w:rPr>
          <w:sz w:val="26"/>
          <w:szCs w:val="26"/>
        </w:rPr>
        <w:t>goal for the government/non-profit sector.</w:t>
      </w:r>
      <w:r w:rsidR="00B33DAE">
        <w:rPr>
          <w:rStyle w:val="FootnoteReference"/>
          <w:sz w:val="26"/>
          <w:szCs w:val="26"/>
        </w:rPr>
        <w:footnoteReference w:id="23"/>
      </w:r>
      <w:r w:rsidRPr="00EA25E3">
        <w:rPr>
          <w:sz w:val="26"/>
          <w:szCs w:val="26"/>
        </w:rPr>
        <w:t xml:space="preserve">  Instead</w:t>
      </w:r>
      <w:r w:rsidR="00E1225D">
        <w:rPr>
          <w:sz w:val="26"/>
          <w:szCs w:val="26"/>
        </w:rPr>
        <w:t xml:space="preserve">, </w:t>
      </w:r>
      <w:r w:rsidR="00246631">
        <w:rPr>
          <w:sz w:val="26"/>
          <w:szCs w:val="26"/>
        </w:rPr>
        <w:t xml:space="preserve">the </w:t>
      </w:r>
      <w:r w:rsidR="00E1225D">
        <w:rPr>
          <w:sz w:val="26"/>
          <w:szCs w:val="26"/>
        </w:rPr>
        <w:t>DEP</w:t>
      </w:r>
      <w:r w:rsidRPr="00EA25E3">
        <w:rPr>
          <w:sz w:val="26"/>
          <w:szCs w:val="26"/>
        </w:rPr>
        <w:t xml:space="preserve"> advocates for a whole </w:t>
      </w:r>
      <w:r w:rsidRPr="00EA25E3">
        <w:rPr>
          <w:sz w:val="26"/>
          <w:szCs w:val="26"/>
        </w:rPr>
        <w:lastRenderedPageBreak/>
        <w:t>building efficiency program for the government/non-profit sector</w:t>
      </w:r>
      <w:r w:rsidR="00C85970">
        <w:rPr>
          <w:sz w:val="26"/>
          <w:szCs w:val="26"/>
        </w:rPr>
        <w:t>,</w:t>
      </w:r>
      <w:r w:rsidRPr="00EA25E3">
        <w:rPr>
          <w:sz w:val="26"/>
          <w:szCs w:val="26"/>
        </w:rPr>
        <w:t xml:space="preserve"> asserting that rel</w:t>
      </w:r>
      <w:r w:rsidR="00E1225D">
        <w:rPr>
          <w:sz w:val="26"/>
          <w:szCs w:val="26"/>
        </w:rPr>
        <w:t xml:space="preserve">ying </w:t>
      </w:r>
      <w:r w:rsidRPr="00EA25E3">
        <w:rPr>
          <w:sz w:val="26"/>
          <w:szCs w:val="26"/>
        </w:rPr>
        <w:t xml:space="preserve">solely on prescriptive rebates is not in the public interest.  DEP MB at 6.  </w:t>
      </w:r>
      <w:r w:rsidR="00246631">
        <w:rPr>
          <w:sz w:val="26"/>
          <w:szCs w:val="26"/>
        </w:rPr>
        <w:t xml:space="preserve">The </w:t>
      </w:r>
      <w:r w:rsidRPr="00EA25E3">
        <w:rPr>
          <w:sz w:val="26"/>
          <w:szCs w:val="26"/>
        </w:rPr>
        <w:t>DEP</w:t>
      </w:r>
      <w:r w:rsidR="00246631">
        <w:rPr>
          <w:sz w:val="26"/>
          <w:szCs w:val="26"/>
        </w:rPr>
        <w:t>’s</w:t>
      </w:r>
      <w:r w:rsidRPr="00EA25E3">
        <w:rPr>
          <w:sz w:val="26"/>
          <w:szCs w:val="26"/>
        </w:rPr>
        <w:t xml:space="preserve"> witness Guttman provided testimony concerning the shortcomings of prescriptive rebate programs and recommending that EDCs utilize the Pennsylvania Department of General Services program for </w:t>
      </w:r>
      <w:r w:rsidR="00943716">
        <w:rPr>
          <w:sz w:val="26"/>
          <w:szCs w:val="26"/>
        </w:rPr>
        <w:t>energy servi</w:t>
      </w:r>
      <w:r w:rsidR="009245D7">
        <w:rPr>
          <w:sz w:val="26"/>
          <w:szCs w:val="26"/>
        </w:rPr>
        <w:t xml:space="preserve">ce company </w:t>
      </w:r>
      <w:r w:rsidRPr="00EA25E3">
        <w:rPr>
          <w:sz w:val="26"/>
          <w:szCs w:val="26"/>
        </w:rPr>
        <w:t>projects.  DEP St. 1 at 12-16.</w:t>
      </w:r>
    </w:p>
    <w:p w:rsidR="00C16B53" w:rsidRPr="00EA25E3" w:rsidRDefault="00C16B53" w:rsidP="00C16B53">
      <w:pPr>
        <w:spacing w:line="360" w:lineRule="auto"/>
        <w:rPr>
          <w:sz w:val="26"/>
          <w:szCs w:val="26"/>
        </w:rPr>
      </w:pPr>
      <w:r w:rsidRPr="00EA25E3">
        <w:rPr>
          <w:sz w:val="26"/>
          <w:szCs w:val="26"/>
        </w:rPr>
        <w:tab/>
      </w:r>
      <w:r w:rsidRPr="00EA25E3">
        <w:rPr>
          <w:sz w:val="26"/>
          <w:szCs w:val="26"/>
        </w:rPr>
        <w:tab/>
      </w:r>
    </w:p>
    <w:p w:rsidR="00C16B53" w:rsidRDefault="005843D4" w:rsidP="00C16B53">
      <w:pPr>
        <w:spacing w:line="360" w:lineRule="auto"/>
        <w:ind w:firstLine="1440"/>
        <w:rPr>
          <w:sz w:val="26"/>
          <w:szCs w:val="26"/>
        </w:rPr>
      </w:pPr>
      <w:r>
        <w:rPr>
          <w:sz w:val="26"/>
          <w:szCs w:val="26"/>
        </w:rPr>
        <w:t>The Companies note in their Reply B</w:t>
      </w:r>
      <w:r w:rsidR="00C16B53" w:rsidRPr="00EA25E3">
        <w:rPr>
          <w:sz w:val="26"/>
          <w:szCs w:val="26"/>
        </w:rPr>
        <w:t>rief</w:t>
      </w:r>
      <w:r w:rsidR="00051AC5">
        <w:rPr>
          <w:sz w:val="26"/>
          <w:szCs w:val="26"/>
        </w:rPr>
        <w:t xml:space="preserve"> </w:t>
      </w:r>
      <w:r w:rsidR="00C16B53" w:rsidRPr="00EA25E3">
        <w:rPr>
          <w:sz w:val="26"/>
          <w:szCs w:val="26"/>
        </w:rPr>
        <w:t>“﻿</w:t>
      </w:r>
      <w:r w:rsidR="00471725">
        <w:rPr>
          <w:sz w:val="26"/>
          <w:szCs w:val="26"/>
        </w:rPr>
        <w:t>[n]</w:t>
      </w:r>
      <w:r w:rsidR="00C16B53" w:rsidRPr="00EA25E3">
        <w:rPr>
          <w:sz w:val="26"/>
          <w:szCs w:val="26"/>
        </w:rPr>
        <w:t xml:space="preserve">o party challenges the </w:t>
      </w:r>
      <w:r w:rsidR="00122B42" w:rsidRPr="00EA25E3">
        <w:rPr>
          <w:sz w:val="26"/>
          <w:szCs w:val="26"/>
        </w:rPr>
        <w:t>Companies</w:t>
      </w:r>
      <w:r w:rsidR="00122B42">
        <w:rPr>
          <w:sz w:val="26"/>
          <w:szCs w:val="26"/>
        </w:rPr>
        <w:t>’</w:t>
      </w:r>
      <w:r w:rsidR="00122B42" w:rsidRPr="00EA25E3">
        <w:rPr>
          <w:sz w:val="26"/>
          <w:szCs w:val="26"/>
        </w:rPr>
        <w:t xml:space="preserve"> </w:t>
      </w:r>
      <w:r w:rsidR="00C16B53" w:rsidRPr="00EA25E3">
        <w:rPr>
          <w:sz w:val="26"/>
          <w:szCs w:val="26"/>
        </w:rPr>
        <w:t xml:space="preserve">determination of the </w:t>
      </w:r>
      <w:r w:rsidR="00122B42" w:rsidRPr="00EA25E3">
        <w:rPr>
          <w:sz w:val="26"/>
          <w:szCs w:val="26"/>
        </w:rPr>
        <w:t>Companies</w:t>
      </w:r>
      <w:r w:rsidR="00122B42">
        <w:rPr>
          <w:sz w:val="26"/>
          <w:szCs w:val="26"/>
        </w:rPr>
        <w:t>’</w:t>
      </w:r>
      <w:r w:rsidR="00122B42" w:rsidRPr="00EA25E3">
        <w:rPr>
          <w:sz w:val="26"/>
          <w:szCs w:val="26"/>
        </w:rPr>
        <w:t xml:space="preserve"> </w:t>
      </w:r>
      <w:r w:rsidR="00C16B53" w:rsidRPr="00EA25E3">
        <w:rPr>
          <w:sz w:val="26"/>
          <w:szCs w:val="26"/>
        </w:rPr>
        <w:t xml:space="preserve">10% government/non-profit levels required under Act 129.” </w:t>
      </w:r>
      <w:r w:rsidR="00122B42">
        <w:rPr>
          <w:sz w:val="26"/>
          <w:szCs w:val="26"/>
        </w:rPr>
        <w:t xml:space="preserve"> </w:t>
      </w:r>
      <w:r w:rsidR="008244C4">
        <w:rPr>
          <w:sz w:val="26"/>
          <w:szCs w:val="26"/>
        </w:rPr>
        <w:t>First</w:t>
      </w:r>
      <w:r w:rsidR="00051AC5">
        <w:rPr>
          <w:sz w:val="26"/>
          <w:szCs w:val="26"/>
        </w:rPr>
        <w:t xml:space="preserve">Energy </w:t>
      </w:r>
      <w:r w:rsidR="00C16B53" w:rsidRPr="00EA25E3">
        <w:rPr>
          <w:sz w:val="26"/>
          <w:szCs w:val="26"/>
        </w:rPr>
        <w:t xml:space="preserve">RB at 9.  </w:t>
      </w:r>
      <w:r w:rsidR="00BD148D">
        <w:rPr>
          <w:sz w:val="26"/>
          <w:szCs w:val="26"/>
        </w:rPr>
        <w:t>In response</w:t>
      </w:r>
      <w:r w:rsidR="00C16B53" w:rsidRPr="00EA25E3">
        <w:rPr>
          <w:sz w:val="26"/>
          <w:szCs w:val="26"/>
        </w:rPr>
        <w:t xml:space="preserve"> to </w:t>
      </w:r>
      <w:r w:rsidR="00246631">
        <w:rPr>
          <w:sz w:val="26"/>
          <w:szCs w:val="26"/>
        </w:rPr>
        <w:t xml:space="preserve">the </w:t>
      </w:r>
      <w:r w:rsidR="00C16B53" w:rsidRPr="00EA25E3">
        <w:rPr>
          <w:sz w:val="26"/>
          <w:szCs w:val="26"/>
        </w:rPr>
        <w:t xml:space="preserve">DEP’s </w:t>
      </w:r>
      <w:r w:rsidR="00471725">
        <w:rPr>
          <w:sz w:val="26"/>
          <w:szCs w:val="26"/>
        </w:rPr>
        <w:t>arguments</w:t>
      </w:r>
      <w:r w:rsidR="00BD148D">
        <w:rPr>
          <w:sz w:val="26"/>
          <w:szCs w:val="26"/>
        </w:rPr>
        <w:t>, the Companies</w:t>
      </w:r>
      <w:r w:rsidR="00C16B53" w:rsidRPr="00EA25E3">
        <w:rPr>
          <w:sz w:val="26"/>
          <w:szCs w:val="26"/>
        </w:rPr>
        <w:t xml:space="preserve"> assert that </w:t>
      </w:r>
      <w:r w:rsidR="00246631">
        <w:rPr>
          <w:sz w:val="26"/>
          <w:szCs w:val="26"/>
        </w:rPr>
        <w:t xml:space="preserve">the </w:t>
      </w:r>
      <w:r w:rsidR="00C16B53" w:rsidRPr="00EA25E3">
        <w:rPr>
          <w:sz w:val="26"/>
          <w:szCs w:val="26"/>
        </w:rPr>
        <w:t>DEP false</w:t>
      </w:r>
      <w:r w:rsidR="00C50926">
        <w:rPr>
          <w:sz w:val="26"/>
          <w:szCs w:val="26"/>
        </w:rPr>
        <w:t>ly</w:t>
      </w:r>
      <w:r w:rsidR="00C16B53" w:rsidRPr="00EA25E3">
        <w:rPr>
          <w:sz w:val="26"/>
          <w:szCs w:val="26"/>
        </w:rPr>
        <w:t xml:space="preserve"> assum</w:t>
      </w:r>
      <w:r w:rsidR="00C50926">
        <w:rPr>
          <w:sz w:val="26"/>
          <w:szCs w:val="26"/>
        </w:rPr>
        <w:t>es that the Companies’ proposed rebate and lighting replacement programs will “impair</w:t>
      </w:r>
      <w:r w:rsidR="008559BB">
        <w:rPr>
          <w:sz w:val="26"/>
          <w:szCs w:val="26"/>
        </w:rPr>
        <w:t>[]</w:t>
      </w:r>
      <w:r w:rsidR="00C50926">
        <w:rPr>
          <w:sz w:val="26"/>
          <w:szCs w:val="26"/>
        </w:rPr>
        <w:t xml:space="preserve"> a government</w:t>
      </w:r>
      <w:r w:rsidR="008559BB">
        <w:rPr>
          <w:sz w:val="26"/>
          <w:szCs w:val="26"/>
        </w:rPr>
        <w:t xml:space="preserve"> entity</w:t>
      </w:r>
      <w:r w:rsidR="00C50926">
        <w:rPr>
          <w:sz w:val="26"/>
          <w:szCs w:val="26"/>
        </w:rPr>
        <w:t>’s ability to obtain significant long term energy consumption reductions through guaranteed energy savings contracts provided by en</w:t>
      </w:r>
      <w:r w:rsidR="00CF05D0">
        <w:rPr>
          <w:sz w:val="26"/>
          <w:szCs w:val="26"/>
        </w:rPr>
        <w:t>ergy service companies.”  First</w:t>
      </w:r>
      <w:r w:rsidR="00C50926">
        <w:rPr>
          <w:sz w:val="26"/>
          <w:szCs w:val="26"/>
        </w:rPr>
        <w:t xml:space="preserve">Energy RB at 10 (quoting </w:t>
      </w:r>
      <w:r w:rsidR="008559BB">
        <w:rPr>
          <w:sz w:val="26"/>
          <w:szCs w:val="26"/>
        </w:rPr>
        <w:t xml:space="preserve">DEP MB at 14).  The Companies </w:t>
      </w:r>
      <w:r w:rsidR="008559BB" w:rsidRPr="00EA25E3">
        <w:rPr>
          <w:sz w:val="26"/>
          <w:szCs w:val="26"/>
        </w:rPr>
        <w:t xml:space="preserve">emphasize that </w:t>
      </w:r>
      <w:r w:rsidR="008559BB">
        <w:rPr>
          <w:sz w:val="26"/>
          <w:szCs w:val="26"/>
        </w:rPr>
        <w:t xml:space="preserve">there is no “impairment” because </w:t>
      </w:r>
      <w:r w:rsidR="008559BB" w:rsidRPr="00EA25E3">
        <w:rPr>
          <w:sz w:val="26"/>
          <w:szCs w:val="26"/>
        </w:rPr>
        <w:t>the Plans do not require government</w:t>
      </w:r>
      <w:r w:rsidR="009245D7">
        <w:rPr>
          <w:sz w:val="26"/>
          <w:szCs w:val="26"/>
        </w:rPr>
        <w:t>s</w:t>
      </w:r>
      <w:r w:rsidR="008559BB" w:rsidRPr="00EA25E3">
        <w:rPr>
          <w:sz w:val="26"/>
          <w:szCs w:val="26"/>
        </w:rPr>
        <w:t>/non-profits to participate in any of t</w:t>
      </w:r>
      <w:r w:rsidR="008559BB">
        <w:rPr>
          <w:sz w:val="26"/>
          <w:szCs w:val="26"/>
        </w:rPr>
        <w:t>he Companies’ program offerings</w:t>
      </w:r>
      <w:r w:rsidR="008559BB" w:rsidRPr="00EA25E3">
        <w:rPr>
          <w:sz w:val="26"/>
          <w:szCs w:val="26"/>
        </w:rPr>
        <w:t>.</w:t>
      </w:r>
      <w:r w:rsidR="008559BB">
        <w:rPr>
          <w:sz w:val="26"/>
          <w:szCs w:val="26"/>
        </w:rPr>
        <w:t xml:space="preserve">  Moreover, </w:t>
      </w:r>
      <w:r w:rsidR="009245D7">
        <w:rPr>
          <w:sz w:val="26"/>
          <w:szCs w:val="26"/>
        </w:rPr>
        <w:t xml:space="preserve">FirstEnergy </w:t>
      </w:r>
      <w:r w:rsidR="008559BB">
        <w:rPr>
          <w:sz w:val="26"/>
          <w:szCs w:val="26"/>
        </w:rPr>
        <w:t>contend</w:t>
      </w:r>
      <w:r w:rsidR="009245D7">
        <w:rPr>
          <w:sz w:val="26"/>
          <w:szCs w:val="26"/>
        </w:rPr>
        <w:t>s</w:t>
      </w:r>
      <w:r w:rsidR="008559BB">
        <w:rPr>
          <w:sz w:val="26"/>
          <w:szCs w:val="26"/>
        </w:rPr>
        <w:t xml:space="preserve"> that t</w:t>
      </w:r>
      <w:r w:rsidR="001106E8">
        <w:rPr>
          <w:sz w:val="26"/>
          <w:szCs w:val="26"/>
        </w:rPr>
        <w:t>he P</w:t>
      </w:r>
      <w:r w:rsidR="001106E8" w:rsidRPr="00EA25E3">
        <w:rPr>
          <w:sz w:val="26"/>
          <w:szCs w:val="26"/>
        </w:rPr>
        <w:t>lans include a “whole building” approach</w:t>
      </w:r>
      <w:r w:rsidR="00C16B53" w:rsidRPr="00EA25E3">
        <w:rPr>
          <w:sz w:val="26"/>
          <w:szCs w:val="26"/>
        </w:rPr>
        <w:t xml:space="preserve"> </w:t>
      </w:r>
      <w:r w:rsidR="001106E8">
        <w:rPr>
          <w:sz w:val="26"/>
          <w:szCs w:val="26"/>
        </w:rPr>
        <w:t>for the gover</w:t>
      </w:r>
      <w:r w:rsidR="00CF05D0">
        <w:rPr>
          <w:sz w:val="26"/>
          <w:szCs w:val="26"/>
        </w:rPr>
        <w:t>nment/non-profit sector.  First</w:t>
      </w:r>
      <w:r w:rsidR="001106E8">
        <w:rPr>
          <w:sz w:val="26"/>
          <w:szCs w:val="26"/>
        </w:rPr>
        <w:t xml:space="preserve">Energy </w:t>
      </w:r>
      <w:r w:rsidR="00C16B53" w:rsidRPr="00EA25E3">
        <w:rPr>
          <w:sz w:val="26"/>
          <w:szCs w:val="26"/>
        </w:rPr>
        <w:t>RB at 10-11.</w:t>
      </w:r>
      <w:r w:rsidR="00974544">
        <w:rPr>
          <w:sz w:val="26"/>
          <w:szCs w:val="26"/>
        </w:rPr>
        <w:t xml:space="preserve"> </w:t>
      </w:r>
      <w:r w:rsidR="00AD6DAF">
        <w:rPr>
          <w:sz w:val="26"/>
          <w:szCs w:val="26"/>
        </w:rPr>
        <w:t xml:space="preserve"> FirstEnergy’s witness Fitzpatrick testified:</w:t>
      </w:r>
    </w:p>
    <w:p w:rsidR="00AD6DAF" w:rsidRDefault="00AD6DAF" w:rsidP="00C16B53">
      <w:pPr>
        <w:spacing w:line="360" w:lineRule="auto"/>
        <w:ind w:firstLine="1440"/>
        <w:rPr>
          <w:sz w:val="26"/>
          <w:szCs w:val="26"/>
        </w:rPr>
      </w:pPr>
    </w:p>
    <w:p w:rsidR="0007482E" w:rsidRDefault="00AD6DAF">
      <w:pPr>
        <w:ind w:left="1440" w:right="1440"/>
        <w:rPr>
          <w:sz w:val="26"/>
          <w:szCs w:val="26"/>
        </w:rPr>
      </w:pPr>
      <w:r>
        <w:rPr>
          <w:sz w:val="26"/>
          <w:szCs w:val="26"/>
        </w:rPr>
        <w:t xml:space="preserve">The Companies have proposed a C/I Performance Contracting Program that is available to Government and Institutional and Non-Profit facilities.  Also, the Companies’ plan includes payment for building audits for Federal, State, Local, Institutional and Non-Profit facilities.  The C/I Performance Contracting Plan – or channel coupled with the building audit and our C/I Equipment Program – gives our Federal, State, Local, </w:t>
      </w:r>
      <w:r w:rsidR="00A83D9E">
        <w:rPr>
          <w:sz w:val="26"/>
          <w:szCs w:val="26"/>
        </w:rPr>
        <w:t>Institutional and Non-Profit facilities the flexibility to take a whole building approach advocated by the DEP.</w:t>
      </w:r>
    </w:p>
    <w:p w:rsidR="00C16B53" w:rsidRDefault="00C16B53" w:rsidP="008E7C8E">
      <w:pPr>
        <w:spacing w:line="360" w:lineRule="auto"/>
        <w:ind w:firstLine="2880"/>
        <w:rPr>
          <w:sz w:val="26"/>
          <w:szCs w:val="26"/>
        </w:rPr>
      </w:pPr>
    </w:p>
    <w:p w:rsidR="0007482E" w:rsidRDefault="00A83D9E">
      <w:pPr>
        <w:spacing w:line="360" w:lineRule="auto"/>
        <w:rPr>
          <w:sz w:val="26"/>
          <w:szCs w:val="26"/>
        </w:rPr>
      </w:pPr>
      <w:r>
        <w:rPr>
          <w:sz w:val="26"/>
          <w:szCs w:val="26"/>
        </w:rPr>
        <w:t>FirstEnergy St. 2-R at 16-17.</w:t>
      </w:r>
    </w:p>
    <w:p w:rsidR="0007482E" w:rsidRDefault="0007482E">
      <w:pPr>
        <w:spacing w:line="360" w:lineRule="auto"/>
        <w:rPr>
          <w:sz w:val="26"/>
          <w:szCs w:val="26"/>
        </w:rPr>
      </w:pPr>
    </w:p>
    <w:p w:rsidR="008E7C8E" w:rsidRPr="008E7C8E" w:rsidRDefault="008E7C8E" w:rsidP="00940B59">
      <w:pPr>
        <w:pStyle w:val="Heading4"/>
      </w:pPr>
      <w:bookmarkStart w:id="50" w:name="_Toc242516238"/>
      <w:bookmarkStart w:id="51" w:name="_Toc244499294"/>
      <w:r>
        <w:lastRenderedPageBreak/>
        <w:t>b.</w:t>
      </w:r>
      <w:r w:rsidR="00B6382E">
        <w:t xml:space="preserve">  </w:t>
      </w:r>
      <w:r w:rsidR="006F4B78">
        <w:tab/>
      </w:r>
      <w:r w:rsidRPr="008E7C8E">
        <w:t>Disposition</w:t>
      </w:r>
      <w:bookmarkEnd w:id="50"/>
      <w:bookmarkEnd w:id="51"/>
    </w:p>
    <w:p w:rsidR="0029321C" w:rsidRDefault="0029321C" w:rsidP="0029321C">
      <w:pPr>
        <w:spacing w:line="360" w:lineRule="auto"/>
        <w:ind w:firstLine="1440"/>
        <w:rPr>
          <w:sz w:val="26"/>
          <w:szCs w:val="26"/>
        </w:rPr>
      </w:pPr>
    </w:p>
    <w:p w:rsidR="009245D7" w:rsidRPr="00EA25E3" w:rsidRDefault="009245D7" w:rsidP="009245D7">
      <w:pPr>
        <w:spacing w:line="360" w:lineRule="auto"/>
        <w:ind w:firstLine="1440"/>
        <w:rPr>
          <w:sz w:val="26"/>
          <w:szCs w:val="26"/>
        </w:rPr>
      </w:pPr>
      <w:r w:rsidRPr="00EA25E3">
        <w:rPr>
          <w:sz w:val="26"/>
          <w:szCs w:val="26"/>
        </w:rPr>
        <w:t xml:space="preserve">The </w:t>
      </w:r>
      <w:r>
        <w:rPr>
          <w:sz w:val="26"/>
          <w:szCs w:val="26"/>
        </w:rPr>
        <w:t xml:space="preserve">Plans </w:t>
      </w:r>
      <w:r w:rsidRPr="00EA25E3">
        <w:rPr>
          <w:sz w:val="26"/>
          <w:szCs w:val="26"/>
        </w:rPr>
        <w:t xml:space="preserve">include programs for the government/non-profit sector that are anticipated to exceed the </w:t>
      </w:r>
      <w:r w:rsidR="005C42A9">
        <w:rPr>
          <w:sz w:val="26"/>
          <w:szCs w:val="26"/>
        </w:rPr>
        <w:t>10%</w:t>
      </w:r>
      <w:r>
        <w:rPr>
          <w:sz w:val="26"/>
          <w:szCs w:val="26"/>
        </w:rPr>
        <w:t xml:space="preserve"> reduction </w:t>
      </w:r>
      <w:r w:rsidRPr="00EA25E3">
        <w:rPr>
          <w:sz w:val="26"/>
          <w:szCs w:val="26"/>
        </w:rPr>
        <w:t>requirement.  There is no serious challenge to this aspect o</w:t>
      </w:r>
      <w:r>
        <w:rPr>
          <w:sz w:val="26"/>
          <w:szCs w:val="26"/>
        </w:rPr>
        <w:t>f the P</w:t>
      </w:r>
      <w:r w:rsidRPr="00EA25E3">
        <w:rPr>
          <w:sz w:val="26"/>
          <w:szCs w:val="26"/>
        </w:rPr>
        <w:t xml:space="preserve">lans.  </w:t>
      </w:r>
      <w:r w:rsidR="00246631">
        <w:rPr>
          <w:sz w:val="26"/>
          <w:szCs w:val="26"/>
        </w:rPr>
        <w:t xml:space="preserve">The </w:t>
      </w:r>
      <w:r w:rsidRPr="00EA25E3">
        <w:rPr>
          <w:sz w:val="26"/>
          <w:szCs w:val="26"/>
        </w:rPr>
        <w:t xml:space="preserve">DEP’s criticism of prescriptive rebate programs </w:t>
      </w:r>
      <w:r w:rsidR="00BA32AB">
        <w:rPr>
          <w:sz w:val="26"/>
          <w:szCs w:val="26"/>
        </w:rPr>
        <w:t xml:space="preserve">is unpersuasive as it failed to demonstrate how FirstEnergy could meet its mandated targets without such programs.  In addition, </w:t>
      </w:r>
      <w:r w:rsidR="005843D4">
        <w:rPr>
          <w:sz w:val="26"/>
          <w:szCs w:val="26"/>
        </w:rPr>
        <w:t xml:space="preserve">the </w:t>
      </w:r>
      <w:r w:rsidR="00BA32AB">
        <w:rPr>
          <w:sz w:val="26"/>
          <w:szCs w:val="26"/>
        </w:rPr>
        <w:t xml:space="preserve">DEP failed to acknowledge that FirstEnergy’s </w:t>
      </w:r>
      <w:r>
        <w:rPr>
          <w:sz w:val="26"/>
          <w:szCs w:val="26"/>
        </w:rPr>
        <w:t xml:space="preserve">Plans in fact </w:t>
      </w:r>
      <w:r w:rsidRPr="00EA25E3">
        <w:rPr>
          <w:sz w:val="26"/>
          <w:szCs w:val="26"/>
        </w:rPr>
        <w:t>offer a whole-building approach.    We see</w:t>
      </w:r>
      <w:r>
        <w:rPr>
          <w:sz w:val="26"/>
          <w:szCs w:val="26"/>
        </w:rPr>
        <w:t xml:space="preserve"> no reason to modify the P</w:t>
      </w:r>
      <w:r w:rsidRPr="00EA25E3">
        <w:rPr>
          <w:sz w:val="26"/>
          <w:szCs w:val="26"/>
        </w:rPr>
        <w:t xml:space="preserve">lans </w:t>
      </w:r>
      <w:r w:rsidR="003F6B27">
        <w:rPr>
          <w:sz w:val="26"/>
          <w:szCs w:val="26"/>
        </w:rPr>
        <w:t xml:space="preserve">with respect to the </w:t>
      </w:r>
      <w:r w:rsidRPr="00EA25E3">
        <w:rPr>
          <w:sz w:val="26"/>
          <w:szCs w:val="26"/>
        </w:rPr>
        <w:t>government/non-profit sector.</w:t>
      </w:r>
    </w:p>
    <w:p w:rsidR="009245D7" w:rsidRDefault="009245D7" w:rsidP="0029321C">
      <w:pPr>
        <w:spacing w:line="360" w:lineRule="auto"/>
        <w:ind w:firstLine="1440"/>
        <w:rPr>
          <w:sz w:val="26"/>
          <w:szCs w:val="26"/>
        </w:rPr>
      </w:pPr>
    </w:p>
    <w:p w:rsidR="0029321C" w:rsidRPr="00FF0956" w:rsidRDefault="00B6382E" w:rsidP="00940B59">
      <w:pPr>
        <w:pStyle w:val="Heading3"/>
      </w:pPr>
      <w:bookmarkStart w:id="52" w:name="_Toc242516239"/>
      <w:bookmarkStart w:id="53" w:name="_Toc244499295"/>
      <w:r>
        <w:t xml:space="preserve">5.  </w:t>
      </w:r>
      <w:r w:rsidR="006F4B78">
        <w:tab/>
      </w:r>
      <w:r w:rsidR="003A49E6">
        <w:t>Low-income</w:t>
      </w:r>
      <w:r w:rsidR="0029321C" w:rsidRPr="00FF0956">
        <w:t xml:space="preserve"> Program Requirements</w:t>
      </w:r>
      <w:bookmarkEnd w:id="52"/>
      <w:bookmarkEnd w:id="53"/>
    </w:p>
    <w:p w:rsidR="004177CF" w:rsidRDefault="004177CF" w:rsidP="008E7C8E">
      <w:pPr>
        <w:spacing w:line="360" w:lineRule="auto"/>
        <w:ind w:firstLine="2160"/>
        <w:rPr>
          <w:b/>
          <w:sz w:val="26"/>
          <w:szCs w:val="26"/>
        </w:rPr>
      </w:pPr>
    </w:p>
    <w:p w:rsidR="00360C77" w:rsidRPr="0098606D" w:rsidRDefault="00360C77" w:rsidP="00360C77">
      <w:pPr>
        <w:spacing w:line="360" w:lineRule="auto"/>
        <w:ind w:firstLine="2160"/>
        <w:rPr>
          <w:sz w:val="26"/>
          <w:szCs w:val="26"/>
        </w:rPr>
      </w:pPr>
      <w:r w:rsidRPr="0098606D">
        <w:rPr>
          <w:sz w:val="26"/>
          <w:szCs w:val="26"/>
        </w:rPr>
        <w:t>Act 129 provides:</w:t>
      </w:r>
    </w:p>
    <w:p w:rsidR="00360C77" w:rsidRPr="0098606D" w:rsidRDefault="00360C77" w:rsidP="00360C77">
      <w:pPr>
        <w:spacing w:line="360" w:lineRule="auto"/>
        <w:ind w:firstLine="2160"/>
        <w:rPr>
          <w:sz w:val="26"/>
          <w:szCs w:val="26"/>
        </w:rPr>
      </w:pPr>
    </w:p>
    <w:p w:rsidR="00360C77" w:rsidRPr="0098606D" w:rsidRDefault="00360C77" w:rsidP="00360C77">
      <w:pPr>
        <w:ind w:left="1440" w:right="1440" w:firstLine="720"/>
        <w:rPr>
          <w:sz w:val="26"/>
          <w:szCs w:val="26"/>
        </w:rPr>
      </w:pPr>
      <w:r w:rsidRPr="0098606D">
        <w:rPr>
          <w:sz w:val="26"/>
          <w:szCs w:val="26"/>
        </w:rPr>
        <w:t>The plan shall include specific energy efficiency measures for households at or below 150% of the federal poverty income guidelines.  The number of measures shall be proportionate to those households’ share of the total energy usage in the service territory.  The electric distribution company shall coordinate measures under this clause with other program</w:t>
      </w:r>
      <w:r w:rsidR="001C010A">
        <w:rPr>
          <w:sz w:val="26"/>
          <w:szCs w:val="26"/>
        </w:rPr>
        <w:t>s</w:t>
      </w:r>
      <w:r w:rsidRPr="0098606D">
        <w:rPr>
          <w:sz w:val="26"/>
          <w:szCs w:val="26"/>
        </w:rPr>
        <w:t xml:space="preserve"> administered by the commission or another federal or state agency.  The expenditures of an electric distribution company under this clause shall be in addition to expenditures made under Pa. Code Ch. 58 (relating to residential low income usage reduction programs).</w:t>
      </w:r>
    </w:p>
    <w:p w:rsidR="00360C77" w:rsidRPr="0098606D" w:rsidRDefault="00360C77" w:rsidP="00360C77">
      <w:pPr>
        <w:ind w:left="1440" w:right="1440" w:firstLine="720"/>
        <w:rPr>
          <w:sz w:val="26"/>
          <w:szCs w:val="26"/>
        </w:rPr>
      </w:pPr>
    </w:p>
    <w:p w:rsidR="00360C77" w:rsidRDefault="00360C77" w:rsidP="00360C77">
      <w:pPr>
        <w:spacing w:line="360" w:lineRule="auto"/>
        <w:rPr>
          <w:sz w:val="26"/>
          <w:szCs w:val="26"/>
        </w:rPr>
      </w:pPr>
      <w:r w:rsidRPr="0098606D">
        <w:rPr>
          <w:sz w:val="26"/>
          <w:szCs w:val="26"/>
        </w:rPr>
        <w:t>66 Pa. C.S. § 2806.1(b)</w:t>
      </w:r>
      <w:r w:rsidR="006F23DC">
        <w:rPr>
          <w:sz w:val="26"/>
          <w:szCs w:val="26"/>
        </w:rPr>
        <w:t>(1)(i)(G</w:t>
      </w:r>
      <w:r w:rsidRPr="0098606D">
        <w:rPr>
          <w:sz w:val="26"/>
          <w:szCs w:val="26"/>
        </w:rPr>
        <w:t>).</w:t>
      </w:r>
    </w:p>
    <w:p w:rsidR="00360C77" w:rsidRPr="00B7292A" w:rsidRDefault="00360C77" w:rsidP="00360C77">
      <w:pPr>
        <w:spacing w:line="360" w:lineRule="auto"/>
        <w:rPr>
          <w:sz w:val="26"/>
          <w:szCs w:val="26"/>
        </w:rPr>
      </w:pPr>
    </w:p>
    <w:p w:rsidR="008E7C8E" w:rsidRPr="008E7C8E" w:rsidRDefault="008E7C8E" w:rsidP="00940B59">
      <w:pPr>
        <w:pStyle w:val="Heading4"/>
      </w:pPr>
      <w:bookmarkStart w:id="54" w:name="_Toc242516240"/>
      <w:bookmarkStart w:id="55" w:name="_Toc244499296"/>
      <w:r>
        <w:t>a.</w:t>
      </w:r>
      <w:r w:rsidR="00B6382E">
        <w:t xml:space="preserve">  </w:t>
      </w:r>
      <w:r w:rsidR="006F4B78">
        <w:tab/>
      </w:r>
      <w:r w:rsidRPr="008E7C8E">
        <w:t>Positions of the Parties</w:t>
      </w:r>
      <w:bookmarkEnd w:id="54"/>
      <w:bookmarkEnd w:id="55"/>
    </w:p>
    <w:p w:rsidR="008E7C8E" w:rsidRDefault="008E7C8E" w:rsidP="008E7C8E">
      <w:pPr>
        <w:spacing w:line="360" w:lineRule="auto"/>
        <w:ind w:firstLine="2880"/>
        <w:rPr>
          <w:sz w:val="26"/>
          <w:szCs w:val="26"/>
        </w:rPr>
      </w:pPr>
    </w:p>
    <w:p w:rsidR="00360C77" w:rsidRPr="00B7292A" w:rsidRDefault="00360C77" w:rsidP="00360C77">
      <w:pPr>
        <w:spacing w:line="360" w:lineRule="auto"/>
        <w:rPr>
          <w:sz w:val="26"/>
          <w:szCs w:val="26"/>
        </w:rPr>
      </w:pPr>
      <w:r w:rsidRPr="00B7292A">
        <w:rPr>
          <w:b/>
          <w:sz w:val="26"/>
          <w:szCs w:val="26"/>
        </w:rPr>
        <w:tab/>
      </w:r>
      <w:r w:rsidRPr="00B7292A">
        <w:rPr>
          <w:b/>
          <w:sz w:val="26"/>
          <w:szCs w:val="26"/>
        </w:rPr>
        <w:tab/>
      </w:r>
      <w:r w:rsidRPr="00B7292A">
        <w:rPr>
          <w:sz w:val="26"/>
          <w:szCs w:val="26"/>
        </w:rPr>
        <w:t>Using Penelec as an example,</w:t>
      </w:r>
      <w:r w:rsidRPr="00B7292A">
        <w:rPr>
          <w:b/>
          <w:sz w:val="26"/>
          <w:szCs w:val="26"/>
        </w:rPr>
        <w:t xml:space="preserve"> </w:t>
      </w:r>
      <w:r w:rsidR="00B42D8D">
        <w:rPr>
          <w:sz w:val="26"/>
          <w:szCs w:val="26"/>
        </w:rPr>
        <w:t>FirstEnergy</w:t>
      </w:r>
      <w:r>
        <w:rPr>
          <w:sz w:val="26"/>
          <w:szCs w:val="26"/>
        </w:rPr>
        <w:t>’s Plans propose a total of nineteen</w:t>
      </w:r>
      <w:r w:rsidRPr="00B7292A">
        <w:rPr>
          <w:sz w:val="26"/>
          <w:szCs w:val="26"/>
        </w:rPr>
        <w:t xml:space="preserve"> ene</w:t>
      </w:r>
      <w:r>
        <w:rPr>
          <w:sz w:val="26"/>
          <w:szCs w:val="26"/>
        </w:rPr>
        <w:t>rgy efficiency and conservation</w:t>
      </w:r>
      <w:r w:rsidRPr="00B7292A">
        <w:rPr>
          <w:sz w:val="26"/>
          <w:szCs w:val="26"/>
        </w:rPr>
        <w:t xml:space="preserve"> and dem</w:t>
      </w:r>
      <w:r>
        <w:rPr>
          <w:sz w:val="26"/>
          <w:szCs w:val="26"/>
        </w:rPr>
        <w:t>and response programs, of which</w:t>
      </w:r>
      <w:r w:rsidRPr="00B7292A">
        <w:rPr>
          <w:sz w:val="26"/>
          <w:szCs w:val="26"/>
        </w:rPr>
        <w:t xml:space="preserve"> one is targeted to residential low-income customers.  Penelec</w:t>
      </w:r>
      <w:r>
        <w:rPr>
          <w:sz w:val="26"/>
          <w:szCs w:val="26"/>
        </w:rPr>
        <w:t>’s</w:t>
      </w:r>
      <w:r w:rsidRPr="00B7292A">
        <w:rPr>
          <w:sz w:val="26"/>
          <w:szCs w:val="26"/>
        </w:rPr>
        <w:t xml:space="preserve"> </w:t>
      </w:r>
      <w:r>
        <w:rPr>
          <w:sz w:val="26"/>
          <w:szCs w:val="26"/>
        </w:rPr>
        <w:t xml:space="preserve">September 21, 2009 </w:t>
      </w:r>
      <w:r w:rsidR="00974DAF">
        <w:rPr>
          <w:sz w:val="26"/>
          <w:szCs w:val="26"/>
        </w:rPr>
        <w:t xml:space="preserve">Plan </w:t>
      </w:r>
      <w:r w:rsidR="00974DAF">
        <w:rPr>
          <w:sz w:val="26"/>
          <w:szCs w:val="26"/>
        </w:rPr>
        <w:lastRenderedPageBreak/>
        <w:t>at 3-6.  The</w:t>
      </w:r>
      <w:r w:rsidRPr="00B7292A">
        <w:rPr>
          <w:sz w:val="26"/>
          <w:szCs w:val="26"/>
        </w:rPr>
        <w:t xml:space="preserve"> program targeted to </w:t>
      </w:r>
      <w:r w:rsidR="003A49E6">
        <w:rPr>
          <w:sz w:val="26"/>
          <w:szCs w:val="26"/>
        </w:rPr>
        <w:t>low-income</w:t>
      </w:r>
      <w:r w:rsidRPr="00B7292A">
        <w:rPr>
          <w:sz w:val="26"/>
          <w:szCs w:val="26"/>
        </w:rPr>
        <w:t xml:space="preserve"> customers is the Low Income Sector Program (WARM Plus).  </w:t>
      </w:r>
      <w:r w:rsidRPr="00360C77">
        <w:rPr>
          <w:i/>
          <w:sz w:val="26"/>
          <w:szCs w:val="26"/>
        </w:rPr>
        <w:t>Id</w:t>
      </w:r>
      <w:r>
        <w:rPr>
          <w:sz w:val="26"/>
          <w:szCs w:val="26"/>
        </w:rPr>
        <w:t xml:space="preserve">. </w:t>
      </w:r>
      <w:r w:rsidRPr="00B7292A">
        <w:rPr>
          <w:sz w:val="26"/>
          <w:szCs w:val="26"/>
        </w:rPr>
        <w:t xml:space="preserve">at 57-59. </w:t>
      </w:r>
    </w:p>
    <w:p w:rsidR="00360C77" w:rsidRDefault="00360C77" w:rsidP="008E7C8E">
      <w:pPr>
        <w:spacing w:line="360" w:lineRule="auto"/>
        <w:ind w:firstLine="2880"/>
        <w:rPr>
          <w:sz w:val="26"/>
          <w:szCs w:val="26"/>
        </w:rPr>
      </w:pPr>
    </w:p>
    <w:p w:rsidR="00551FEB" w:rsidRPr="00B7292A" w:rsidRDefault="00551FEB" w:rsidP="00551FEB">
      <w:pPr>
        <w:spacing w:line="360" w:lineRule="auto"/>
        <w:ind w:firstLine="1440"/>
        <w:rPr>
          <w:sz w:val="26"/>
          <w:szCs w:val="26"/>
        </w:rPr>
      </w:pPr>
      <w:r w:rsidRPr="00B7292A">
        <w:rPr>
          <w:sz w:val="26"/>
          <w:szCs w:val="26"/>
        </w:rPr>
        <w:t xml:space="preserve">The OCA questions whether </w:t>
      </w:r>
      <w:r w:rsidR="00B42D8D">
        <w:rPr>
          <w:sz w:val="26"/>
          <w:szCs w:val="26"/>
        </w:rPr>
        <w:t>FirstEnergy</w:t>
      </w:r>
      <w:r w:rsidRPr="00B7292A">
        <w:rPr>
          <w:sz w:val="26"/>
          <w:szCs w:val="26"/>
        </w:rPr>
        <w:t xml:space="preserve">’s Plans meet the </w:t>
      </w:r>
      <w:r w:rsidR="003A49E6">
        <w:rPr>
          <w:sz w:val="26"/>
          <w:szCs w:val="26"/>
        </w:rPr>
        <w:t>low-income</w:t>
      </w:r>
      <w:r w:rsidRPr="00B7292A">
        <w:rPr>
          <w:sz w:val="26"/>
          <w:szCs w:val="26"/>
        </w:rPr>
        <w:t xml:space="preserve"> requirements of the Act.  OCA MB at 22.  Initially, the OCA questions whether </w:t>
      </w:r>
      <w:r w:rsidR="00B42D8D">
        <w:rPr>
          <w:sz w:val="26"/>
          <w:szCs w:val="26"/>
        </w:rPr>
        <w:t>FirstEnergy</w:t>
      </w:r>
      <w:r w:rsidRPr="00B7292A">
        <w:rPr>
          <w:sz w:val="26"/>
          <w:szCs w:val="26"/>
        </w:rPr>
        <w:t xml:space="preserve"> correctly calculated the </w:t>
      </w:r>
      <w:r w:rsidR="003A49E6">
        <w:rPr>
          <w:sz w:val="26"/>
          <w:szCs w:val="26"/>
        </w:rPr>
        <w:t>low-income</w:t>
      </w:r>
      <w:r w:rsidR="00974DAF">
        <w:rPr>
          <w:sz w:val="26"/>
          <w:szCs w:val="26"/>
        </w:rPr>
        <w:t xml:space="preserve"> households’ share of</w:t>
      </w:r>
      <w:r w:rsidRPr="00B7292A">
        <w:rPr>
          <w:sz w:val="26"/>
          <w:szCs w:val="26"/>
        </w:rPr>
        <w:t xml:space="preserve"> total energy usage.  The OCA notes that </w:t>
      </w:r>
      <w:r w:rsidR="00B42D8D">
        <w:rPr>
          <w:sz w:val="26"/>
          <w:szCs w:val="26"/>
        </w:rPr>
        <w:t>FirstEnergy</w:t>
      </w:r>
      <w:r w:rsidRPr="00B7292A">
        <w:rPr>
          <w:sz w:val="26"/>
          <w:szCs w:val="26"/>
        </w:rPr>
        <w:t xml:space="preserve"> initially calculated the low-income customers’ share of total energy usage and the average usage of these customers using billing data.  OCA MB at 23.  Based on this data, usage by </w:t>
      </w:r>
      <w:r w:rsidR="003A49E6">
        <w:rPr>
          <w:sz w:val="26"/>
          <w:szCs w:val="26"/>
        </w:rPr>
        <w:t>low-income</w:t>
      </w:r>
      <w:r w:rsidRPr="00B7292A">
        <w:rPr>
          <w:sz w:val="26"/>
          <w:szCs w:val="26"/>
        </w:rPr>
        <w:t xml:space="preserve"> customers accounted for 3.2% of total energy usage at Met Ed, 4.0% at Penelec and 3.5% at Penn Power.  OCA MB at 24 (citing OCA Cross Exh. 2; </w:t>
      </w:r>
      <w:r w:rsidR="00B42D8D">
        <w:rPr>
          <w:sz w:val="26"/>
          <w:szCs w:val="26"/>
        </w:rPr>
        <w:t>FirstEnergy</w:t>
      </w:r>
      <w:r w:rsidR="002832D0">
        <w:rPr>
          <w:sz w:val="26"/>
          <w:szCs w:val="26"/>
        </w:rPr>
        <w:t xml:space="preserve"> </w:t>
      </w:r>
      <w:r w:rsidRPr="00B7292A">
        <w:rPr>
          <w:sz w:val="26"/>
          <w:szCs w:val="26"/>
        </w:rPr>
        <w:t xml:space="preserve">Exhs. GLF-4, GLF-5).  The OCA points out that, at </w:t>
      </w:r>
      <w:r w:rsidR="002832D0">
        <w:rPr>
          <w:sz w:val="26"/>
          <w:szCs w:val="26"/>
        </w:rPr>
        <w:t xml:space="preserve">the </w:t>
      </w:r>
      <w:r w:rsidRPr="00B7292A">
        <w:rPr>
          <w:sz w:val="26"/>
          <w:szCs w:val="26"/>
        </w:rPr>
        <w:t xml:space="preserve">hearing, </w:t>
      </w:r>
      <w:r w:rsidR="00B42D8D">
        <w:rPr>
          <w:sz w:val="26"/>
          <w:szCs w:val="26"/>
        </w:rPr>
        <w:t>FirstEnergy</w:t>
      </w:r>
      <w:r w:rsidRPr="00B7292A">
        <w:rPr>
          <w:sz w:val="26"/>
          <w:szCs w:val="26"/>
        </w:rPr>
        <w:t xml:space="preserve"> provided updated estimates of the low-income customers’ share </w:t>
      </w:r>
      <w:r w:rsidR="00974DAF">
        <w:rPr>
          <w:sz w:val="26"/>
          <w:szCs w:val="26"/>
        </w:rPr>
        <w:t xml:space="preserve">of total energy usage </w:t>
      </w:r>
      <w:r w:rsidRPr="00B7292A">
        <w:rPr>
          <w:sz w:val="26"/>
          <w:szCs w:val="26"/>
        </w:rPr>
        <w:t xml:space="preserve">using census data.  Based on this data, </w:t>
      </w:r>
      <w:r w:rsidR="003A49E6">
        <w:rPr>
          <w:sz w:val="26"/>
          <w:szCs w:val="26"/>
        </w:rPr>
        <w:t>low-income</w:t>
      </w:r>
      <w:r w:rsidRPr="00B7292A">
        <w:rPr>
          <w:sz w:val="26"/>
          <w:szCs w:val="26"/>
        </w:rPr>
        <w:t xml:space="preserve"> customers accounted for 5.5% </w:t>
      </w:r>
      <w:r w:rsidR="002832D0">
        <w:rPr>
          <w:sz w:val="26"/>
          <w:szCs w:val="26"/>
        </w:rPr>
        <w:t xml:space="preserve">of energy usage </w:t>
      </w:r>
      <w:r w:rsidRPr="00B7292A">
        <w:rPr>
          <w:sz w:val="26"/>
          <w:szCs w:val="26"/>
        </w:rPr>
        <w:t xml:space="preserve">at Met Ed, 7.2% at Penelec and 7.1% at Penn Power.  </w:t>
      </w:r>
      <w:r w:rsidRPr="00B7292A">
        <w:rPr>
          <w:i/>
          <w:sz w:val="26"/>
          <w:szCs w:val="26"/>
        </w:rPr>
        <w:t>Id.</w:t>
      </w:r>
      <w:r w:rsidRPr="00B7292A">
        <w:rPr>
          <w:sz w:val="26"/>
          <w:szCs w:val="26"/>
        </w:rPr>
        <w:t xml:space="preserve">  The OCA argues that </w:t>
      </w:r>
      <w:r w:rsidR="00B42D8D">
        <w:rPr>
          <w:sz w:val="26"/>
          <w:szCs w:val="26"/>
        </w:rPr>
        <w:t>FirstEnergy</w:t>
      </w:r>
      <w:r w:rsidRPr="00B7292A">
        <w:rPr>
          <w:sz w:val="26"/>
          <w:szCs w:val="26"/>
        </w:rPr>
        <w:t xml:space="preserve"> should be required to use the census data to calculate the percentage of </w:t>
      </w:r>
      <w:r w:rsidR="003A49E6">
        <w:rPr>
          <w:sz w:val="26"/>
          <w:szCs w:val="26"/>
        </w:rPr>
        <w:t>low-income</w:t>
      </w:r>
      <w:r w:rsidRPr="00B7292A">
        <w:rPr>
          <w:sz w:val="26"/>
          <w:szCs w:val="26"/>
        </w:rPr>
        <w:t xml:space="preserve"> </w:t>
      </w:r>
      <w:r w:rsidR="00115E51">
        <w:rPr>
          <w:sz w:val="26"/>
          <w:szCs w:val="26"/>
        </w:rPr>
        <w:t xml:space="preserve">energy </w:t>
      </w:r>
      <w:r w:rsidRPr="00B7292A">
        <w:rPr>
          <w:sz w:val="26"/>
          <w:szCs w:val="26"/>
        </w:rPr>
        <w:t xml:space="preserve">usage in the Companies’ service territories.  OCA MB at 24.  </w:t>
      </w:r>
    </w:p>
    <w:p w:rsidR="00551FEB" w:rsidRPr="00B7292A" w:rsidRDefault="00551FEB" w:rsidP="00551FEB">
      <w:pPr>
        <w:spacing w:line="360" w:lineRule="auto"/>
        <w:ind w:firstLine="720"/>
        <w:rPr>
          <w:sz w:val="26"/>
          <w:szCs w:val="26"/>
        </w:rPr>
      </w:pPr>
    </w:p>
    <w:p w:rsidR="00551FEB" w:rsidRPr="00B7292A" w:rsidRDefault="00551FEB" w:rsidP="00551FEB">
      <w:pPr>
        <w:spacing w:line="360" w:lineRule="auto"/>
        <w:ind w:firstLine="1440"/>
        <w:rPr>
          <w:sz w:val="26"/>
          <w:szCs w:val="26"/>
        </w:rPr>
      </w:pPr>
      <w:r w:rsidRPr="00B7292A">
        <w:rPr>
          <w:sz w:val="26"/>
          <w:szCs w:val="26"/>
        </w:rPr>
        <w:t xml:space="preserve">The OCA further asserts that the Companies have incorrectly calculated the </w:t>
      </w:r>
      <w:r w:rsidR="003A49E6">
        <w:rPr>
          <w:sz w:val="26"/>
          <w:szCs w:val="26"/>
        </w:rPr>
        <w:t>low-income</w:t>
      </w:r>
      <w:r w:rsidRPr="00B7292A">
        <w:rPr>
          <w:sz w:val="26"/>
          <w:szCs w:val="26"/>
        </w:rPr>
        <w:t xml:space="preserve"> savings by including savings from their existing </w:t>
      </w:r>
      <w:r w:rsidR="003A49E6">
        <w:rPr>
          <w:sz w:val="26"/>
          <w:szCs w:val="26"/>
        </w:rPr>
        <w:t>low-income</w:t>
      </w:r>
      <w:r w:rsidRPr="00B7292A">
        <w:rPr>
          <w:sz w:val="26"/>
          <w:szCs w:val="26"/>
        </w:rPr>
        <w:t xml:space="preserve"> usage program (the WARM program).  </w:t>
      </w:r>
      <w:r w:rsidR="00115E51">
        <w:rPr>
          <w:sz w:val="26"/>
          <w:szCs w:val="26"/>
        </w:rPr>
        <w:t xml:space="preserve">The </w:t>
      </w:r>
      <w:r w:rsidRPr="00B7292A">
        <w:rPr>
          <w:sz w:val="26"/>
          <w:szCs w:val="26"/>
        </w:rPr>
        <w:t>OCA states that the energy saving</w:t>
      </w:r>
      <w:r w:rsidR="00115E51">
        <w:rPr>
          <w:sz w:val="26"/>
          <w:szCs w:val="26"/>
        </w:rPr>
        <w:t>s from the existing WARM funds</w:t>
      </w:r>
      <w:r w:rsidRPr="00B7292A">
        <w:rPr>
          <w:sz w:val="26"/>
          <w:szCs w:val="26"/>
        </w:rPr>
        <w:t xml:space="preserve"> are not Act 129 programs and should not be attributed to the Companies’ </w:t>
      </w:r>
      <w:r w:rsidR="003A49E6">
        <w:rPr>
          <w:sz w:val="26"/>
          <w:szCs w:val="26"/>
        </w:rPr>
        <w:t>low-income</w:t>
      </w:r>
      <w:r w:rsidRPr="00B7292A">
        <w:rPr>
          <w:sz w:val="26"/>
          <w:szCs w:val="26"/>
        </w:rPr>
        <w:t xml:space="preserve"> obligations under Act 129.  OCA MB at 25.  </w:t>
      </w:r>
      <w:r w:rsidR="000D3381">
        <w:rPr>
          <w:sz w:val="26"/>
          <w:szCs w:val="26"/>
        </w:rPr>
        <w:t xml:space="preserve">The </w:t>
      </w:r>
      <w:r w:rsidRPr="00B7292A">
        <w:rPr>
          <w:sz w:val="26"/>
          <w:szCs w:val="26"/>
        </w:rPr>
        <w:t xml:space="preserve">OCA also </w:t>
      </w:r>
      <w:r w:rsidR="00115E51">
        <w:rPr>
          <w:sz w:val="26"/>
          <w:szCs w:val="26"/>
        </w:rPr>
        <w:t xml:space="preserve">submits </w:t>
      </w:r>
      <w:r w:rsidRPr="00B7292A">
        <w:rPr>
          <w:sz w:val="26"/>
          <w:szCs w:val="26"/>
        </w:rPr>
        <w:t xml:space="preserve">that the Companies have attempted to assign a share of savings from the other residential programs to the </w:t>
      </w:r>
      <w:r w:rsidR="003A49E6">
        <w:rPr>
          <w:sz w:val="26"/>
          <w:szCs w:val="26"/>
        </w:rPr>
        <w:t>low-income</w:t>
      </w:r>
      <w:r w:rsidRPr="00B7292A">
        <w:rPr>
          <w:sz w:val="26"/>
          <w:szCs w:val="26"/>
        </w:rPr>
        <w:t xml:space="preserve"> requirements</w:t>
      </w:r>
      <w:r w:rsidR="00115E51">
        <w:rPr>
          <w:sz w:val="26"/>
          <w:szCs w:val="26"/>
        </w:rPr>
        <w:t>, based on the assumption</w:t>
      </w:r>
      <w:r w:rsidRPr="00B7292A">
        <w:rPr>
          <w:sz w:val="26"/>
          <w:szCs w:val="26"/>
        </w:rPr>
        <w:t xml:space="preserve"> that </w:t>
      </w:r>
      <w:r w:rsidR="003A49E6">
        <w:rPr>
          <w:sz w:val="26"/>
          <w:szCs w:val="26"/>
        </w:rPr>
        <w:t>low-income</w:t>
      </w:r>
      <w:r w:rsidRPr="00B7292A">
        <w:rPr>
          <w:sz w:val="26"/>
          <w:szCs w:val="26"/>
        </w:rPr>
        <w:t xml:space="preserve"> customers will participate in the same manner as other residential customers.  </w:t>
      </w:r>
      <w:r w:rsidR="000D3381">
        <w:rPr>
          <w:sz w:val="26"/>
          <w:szCs w:val="26"/>
        </w:rPr>
        <w:t xml:space="preserve">The </w:t>
      </w:r>
      <w:r w:rsidRPr="00B7292A">
        <w:rPr>
          <w:sz w:val="26"/>
          <w:szCs w:val="26"/>
        </w:rPr>
        <w:t xml:space="preserve">OCA asserts that the </w:t>
      </w:r>
      <w:r w:rsidR="003A49E6">
        <w:rPr>
          <w:sz w:val="26"/>
          <w:szCs w:val="26"/>
        </w:rPr>
        <w:t>low-income</w:t>
      </w:r>
      <w:r w:rsidRPr="00B7292A">
        <w:rPr>
          <w:sz w:val="26"/>
          <w:szCs w:val="26"/>
        </w:rPr>
        <w:t xml:space="preserve"> customers may not participate in these programs at the same rate as the other residential customers.  OCA MB at 25.  </w:t>
      </w:r>
    </w:p>
    <w:p w:rsidR="00551FEB" w:rsidRPr="00B7292A" w:rsidRDefault="00551FEB" w:rsidP="00551FEB">
      <w:pPr>
        <w:spacing w:line="360" w:lineRule="auto"/>
        <w:ind w:firstLine="720"/>
        <w:rPr>
          <w:sz w:val="26"/>
          <w:szCs w:val="26"/>
        </w:rPr>
      </w:pPr>
    </w:p>
    <w:p w:rsidR="00551FEB" w:rsidRPr="00B7292A" w:rsidRDefault="00551FEB" w:rsidP="00551FEB">
      <w:pPr>
        <w:spacing w:line="360" w:lineRule="auto"/>
        <w:ind w:firstLine="1440"/>
        <w:rPr>
          <w:sz w:val="26"/>
          <w:szCs w:val="26"/>
        </w:rPr>
      </w:pPr>
      <w:r w:rsidRPr="00B7292A">
        <w:rPr>
          <w:sz w:val="26"/>
          <w:szCs w:val="26"/>
        </w:rPr>
        <w:lastRenderedPageBreak/>
        <w:t xml:space="preserve">Rep. George </w:t>
      </w:r>
      <w:r w:rsidR="00974DAF">
        <w:rPr>
          <w:sz w:val="26"/>
          <w:szCs w:val="26"/>
        </w:rPr>
        <w:t xml:space="preserve">argued </w:t>
      </w:r>
      <w:r w:rsidRPr="00B7292A">
        <w:rPr>
          <w:sz w:val="26"/>
          <w:szCs w:val="26"/>
        </w:rPr>
        <w:t xml:space="preserve">that the Plans are deficient because they underfund the </w:t>
      </w:r>
      <w:r w:rsidR="003A49E6">
        <w:rPr>
          <w:sz w:val="26"/>
          <w:szCs w:val="26"/>
        </w:rPr>
        <w:t>low-income</w:t>
      </w:r>
      <w:r w:rsidRPr="00B7292A">
        <w:rPr>
          <w:sz w:val="26"/>
          <w:szCs w:val="26"/>
        </w:rPr>
        <w:t xml:space="preserve"> sector program and the only budget allocation for </w:t>
      </w:r>
      <w:r w:rsidR="00974DAF">
        <w:rPr>
          <w:sz w:val="26"/>
          <w:szCs w:val="26"/>
        </w:rPr>
        <w:t xml:space="preserve">the </w:t>
      </w:r>
      <w:r w:rsidR="003A49E6">
        <w:rPr>
          <w:sz w:val="26"/>
          <w:szCs w:val="26"/>
        </w:rPr>
        <w:t>low-income</w:t>
      </w:r>
      <w:r w:rsidRPr="00B7292A">
        <w:rPr>
          <w:sz w:val="26"/>
          <w:szCs w:val="26"/>
        </w:rPr>
        <w:t xml:space="preserve"> </w:t>
      </w:r>
      <w:r w:rsidR="00974DAF">
        <w:rPr>
          <w:sz w:val="26"/>
          <w:szCs w:val="26"/>
        </w:rPr>
        <w:t xml:space="preserve">sector is an enhancement to </w:t>
      </w:r>
      <w:r w:rsidRPr="00B7292A">
        <w:rPr>
          <w:sz w:val="26"/>
          <w:szCs w:val="26"/>
        </w:rPr>
        <w:t>existing WARM servi</w:t>
      </w:r>
      <w:r w:rsidR="00B57126">
        <w:rPr>
          <w:sz w:val="26"/>
          <w:szCs w:val="26"/>
        </w:rPr>
        <w:t>ces.  George MB at 8 (citing FirstEnergy</w:t>
      </w:r>
      <w:r w:rsidR="00AB2F18">
        <w:rPr>
          <w:sz w:val="26"/>
          <w:szCs w:val="26"/>
        </w:rPr>
        <w:t xml:space="preserve"> St.</w:t>
      </w:r>
      <w:r w:rsidRPr="00B7292A">
        <w:rPr>
          <w:sz w:val="26"/>
          <w:szCs w:val="26"/>
        </w:rPr>
        <w:t xml:space="preserve"> 2).  Rep. George also stated that the Plans must provide additional measures with dedicated funding</w:t>
      </w:r>
      <w:r w:rsidR="00B57126">
        <w:rPr>
          <w:sz w:val="26"/>
          <w:szCs w:val="26"/>
        </w:rPr>
        <w:t>,</w:t>
      </w:r>
      <w:r w:rsidRPr="00B7292A">
        <w:rPr>
          <w:sz w:val="26"/>
          <w:szCs w:val="26"/>
        </w:rPr>
        <w:t xml:space="preserve"> </w:t>
      </w:r>
      <w:r w:rsidR="007A1FCB">
        <w:rPr>
          <w:sz w:val="26"/>
          <w:szCs w:val="26"/>
        </w:rPr>
        <w:t xml:space="preserve">that </w:t>
      </w:r>
      <w:r w:rsidRPr="00B7292A">
        <w:rPr>
          <w:sz w:val="26"/>
          <w:szCs w:val="26"/>
        </w:rPr>
        <w:t xml:space="preserve">a share of the other residential programs should be allocated to the </w:t>
      </w:r>
      <w:r w:rsidR="003A49E6">
        <w:rPr>
          <w:sz w:val="26"/>
          <w:szCs w:val="26"/>
        </w:rPr>
        <w:t>low-income</w:t>
      </w:r>
      <w:r w:rsidRPr="00B7292A">
        <w:rPr>
          <w:sz w:val="26"/>
          <w:szCs w:val="26"/>
        </w:rPr>
        <w:t xml:space="preserve"> sector</w:t>
      </w:r>
      <w:r w:rsidR="00B57126">
        <w:rPr>
          <w:sz w:val="26"/>
          <w:szCs w:val="26"/>
        </w:rPr>
        <w:t xml:space="preserve">, </w:t>
      </w:r>
      <w:r w:rsidRPr="00B7292A">
        <w:rPr>
          <w:sz w:val="26"/>
          <w:szCs w:val="26"/>
        </w:rPr>
        <w:t xml:space="preserve">and </w:t>
      </w:r>
      <w:r w:rsidR="007A1FCB">
        <w:rPr>
          <w:sz w:val="26"/>
          <w:szCs w:val="26"/>
        </w:rPr>
        <w:t xml:space="preserve">that </w:t>
      </w:r>
      <w:r w:rsidR="00B57126">
        <w:rPr>
          <w:sz w:val="26"/>
          <w:szCs w:val="26"/>
        </w:rPr>
        <w:t xml:space="preserve">the </w:t>
      </w:r>
      <w:r w:rsidR="00C43D99">
        <w:rPr>
          <w:sz w:val="26"/>
          <w:szCs w:val="26"/>
        </w:rPr>
        <w:t xml:space="preserve">Companies </w:t>
      </w:r>
      <w:r w:rsidR="00B57126">
        <w:rPr>
          <w:sz w:val="26"/>
          <w:szCs w:val="26"/>
        </w:rPr>
        <w:t xml:space="preserve">should provide </w:t>
      </w:r>
      <w:r w:rsidRPr="00B7292A">
        <w:rPr>
          <w:sz w:val="26"/>
          <w:szCs w:val="26"/>
        </w:rPr>
        <w:t xml:space="preserve">financial assistance to help </w:t>
      </w:r>
      <w:r w:rsidR="003A49E6">
        <w:rPr>
          <w:sz w:val="26"/>
          <w:szCs w:val="26"/>
        </w:rPr>
        <w:t>low-income</w:t>
      </w:r>
      <w:r w:rsidRPr="00B7292A">
        <w:rPr>
          <w:sz w:val="26"/>
          <w:szCs w:val="26"/>
        </w:rPr>
        <w:t xml:space="preserve"> customers participate.  George MB at 9-10.</w:t>
      </w:r>
    </w:p>
    <w:p w:rsidR="00551FEB" w:rsidRPr="00B7292A" w:rsidRDefault="00551FEB" w:rsidP="00551FEB">
      <w:pPr>
        <w:spacing w:line="360" w:lineRule="auto"/>
        <w:ind w:firstLine="720"/>
        <w:rPr>
          <w:sz w:val="26"/>
          <w:szCs w:val="26"/>
        </w:rPr>
      </w:pPr>
    </w:p>
    <w:p w:rsidR="00551FEB" w:rsidRPr="00B7292A" w:rsidRDefault="00551FEB" w:rsidP="00551FEB">
      <w:pPr>
        <w:spacing w:line="360" w:lineRule="auto"/>
        <w:ind w:firstLine="1440"/>
        <w:rPr>
          <w:sz w:val="26"/>
          <w:szCs w:val="26"/>
        </w:rPr>
      </w:pPr>
      <w:r w:rsidRPr="00B7292A">
        <w:rPr>
          <w:sz w:val="26"/>
          <w:szCs w:val="26"/>
        </w:rPr>
        <w:t>ACORN asserts that the Companies have not provided sufficient infor</w:t>
      </w:r>
      <w:r w:rsidR="00C43D99">
        <w:rPr>
          <w:sz w:val="26"/>
          <w:szCs w:val="26"/>
        </w:rPr>
        <w:t>mation to determine how FirstEnergy</w:t>
      </w:r>
      <w:r w:rsidRPr="00B7292A">
        <w:rPr>
          <w:sz w:val="26"/>
          <w:szCs w:val="26"/>
        </w:rPr>
        <w:t xml:space="preserve"> determin</w:t>
      </w:r>
      <w:r w:rsidR="00C43D99">
        <w:rPr>
          <w:sz w:val="26"/>
          <w:szCs w:val="26"/>
        </w:rPr>
        <w:t xml:space="preserve">ed the </w:t>
      </w:r>
      <w:r w:rsidR="003A49E6">
        <w:rPr>
          <w:sz w:val="26"/>
          <w:szCs w:val="26"/>
        </w:rPr>
        <w:t>low-income</w:t>
      </w:r>
      <w:r w:rsidR="00C43D99">
        <w:rPr>
          <w:sz w:val="26"/>
          <w:szCs w:val="26"/>
        </w:rPr>
        <w:t xml:space="preserve"> targets and whether</w:t>
      </w:r>
      <w:r w:rsidRPr="00B7292A">
        <w:rPr>
          <w:sz w:val="26"/>
          <w:szCs w:val="26"/>
        </w:rPr>
        <w:t xml:space="preserve"> the Plans include a “number of measures” proportionate to the </w:t>
      </w:r>
      <w:r w:rsidR="003A49E6">
        <w:rPr>
          <w:sz w:val="26"/>
          <w:szCs w:val="26"/>
        </w:rPr>
        <w:t>low-income</w:t>
      </w:r>
      <w:r w:rsidR="00C43D99">
        <w:rPr>
          <w:sz w:val="26"/>
          <w:szCs w:val="26"/>
        </w:rPr>
        <w:t xml:space="preserve"> household</w:t>
      </w:r>
      <w:r w:rsidRPr="00B7292A">
        <w:rPr>
          <w:sz w:val="26"/>
          <w:szCs w:val="26"/>
        </w:rPr>
        <w:t xml:space="preserve">s’ share of total energy usage.  ACORN MB at 10.  ACORN went on to assert that the Plans do not provide assurance that the </w:t>
      </w:r>
      <w:r w:rsidR="003A49E6">
        <w:rPr>
          <w:sz w:val="26"/>
          <w:szCs w:val="26"/>
        </w:rPr>
        <w:t>low-income</w:t>
      </w:r>
      <w:r w:rsidRPr="00B7292A">
        <w:rPr>
          <w:sz w:val="26"/>
          <w:szCs w:val="26"/>
        </w:rPr>
        <w:t xml:space="preserve"> programs will be coordinated with other federal, state and Commission programs.  ACORN MB at 18.  ACORN also questions whether the </w:t>
      </w:r>
      <w:r w:rsidR="003A49E6">
        <w:rPr>
          <w:sz w:val="26"/>
          <w:szCs w:val="26"/>
        </w:rPr>
        <w:t>low-income</w:t>
      </w:r>
      <w:r w:rsidRPr="00B7292A">
        <w:rPr>
          <w:sz w:val="26"/>
          <w:szCs w:val="26"/>
        </w:rPr>
        <w:t xml:space="preserve"> program expenditures will be in addition to the existing </w:t>
      </w:r>
      <w:r w:rsidR="003A49E6">
        <w:rPr>
          <w:sz w:val="26"/>
          <w:szCs w:val="26"/>
        </w:rPr>
        <w:t>low-income</w:t>
      </w:r>
      <w:r w:rsidR="00A24AA2">
        <w:rPr>
          <w:sz w:val="26"/>
          <w:szCs w:val="26"/>
        </w:rPr>
        <w:t xml:space="preserve"> usage reduction program (</w:t>
      </w:r>
      <w:r w:rsidRPr="00B7292A">
        <w:rPr>
          <w:sz w:val="26"/>
          <w:szCs w:val="26"/>
        </w:rPr>
        <w:t>LIURP</w:t>
      </w:r>
      <w:r w:rsidR="00A24AA2">
        <w:rPr>
          <w:sz w:val="26"/>
          <w:szCs w:val="26"/>
        </w:rPr>
        <w:t>)</w:t>
      </w:r>
      <w:r w:rsidR="0042333B">
        <w:rPr>
          <w:sz w:val="26"/>
          <w:szCs w:val="26"/>
        </w:rPr>
        <w:t>.  ACORN MB at 16.  ACORN states</w:t>
      </w:r>
      <w:r w:rsidRPr="00B7292A">
        <w:rPr>
          <w:sz w:val="26"/>
          <w:szCs w:val="26"/>
        </w:rPr>
        <w:t xml:space="preserve"> that the Plans may allow some households with incomes exceeding 150% </w:t>
      </w:r>
      <w:r w:rsidR="00C43D99">
        <w:rPr>
          <w:sz w:val="26"/>
          <w:szCs w:val="26"/>
        </w:rPr>
        <w:t xml:space="preserve">of the </w:t>
      </w:r>
      <w:r w:rsidR="007A1FCB">
        <w:rPr>
          <w:sz w:val="26"/>
          <w:szCs w:val="26"/>
        </w:rPr>
        <w:t>f</w:t>
      </w:r>
      <w:r w:rsidR="007A1FCB" w:rsidRPr="00B7292A">
        <w:rPr>
          <w:sz w:val="26"/>
          <w:szCs w:val="26"/>
        </w:rPr>
        <w:t xml:space="preserve">ederal </w:t>
      </w:r>
      <w:r w:rsidRPr="00B7292A">
        <w:rPr>
          <w:sz w:val="26"/>
          <w:szCs w:val="26"/>
        </w:rPr>
        <w:t xml:space="preserve">poverty income guidelines </w:t>
      </w:r>
      <w:r w:rsidR="00C43D99">
        <w:rPr>
          <w:sz w:val="26"/>
          <w:szCs w:val="26"/>
        </w:rPr>
        <w:t xml:space="preserve">(FPIG) </w:t>
      </w:r>
      <w:r w:rsidRPr="00B7292A">
        <w:rPr>
          <w:sz w:val="26"/>
          <w:szCs w:val="26"/>
        </w:rPr>
        <w:t xml:space="preserve">to participate in the </w:t>
      </w:r>
      <w:r w:rsidR="003A49E6">
        <w:rPr>
          <w:sz w:val="26"/>
          <w:szCs w:val="26"/>
        </w:rPr>
        <w:t>low-income</w:t>
      </w:r>
      <w:r w:rsidRPr="00B7292A">
        <w:rPr>
          <w:sz w:val="26"/>
          <w:szCs w:val="26"/>
        </w:rPr>
        <w:t xml:space="preserve"> programs.  ACORN asserts that </w:t>
      </w:r>
      <w:r w:rsidR="003A49E6">
        <w:rPr>
          <w:sz w:val="26"/>
          <w:szCs w:val="26"/>
        </w:rPr>
        <w:t>low-income</w:t>
      </w:r>
      <w:r w:rsidRPr="00B7292A">
        <w:rPr>
          <w:sz w:val="26"/>
          <w:szCs w:val="26"/>
        </w:rPr>
        <w:t xml:space="preserve"> energy savings should only be counted from households with income</w:t>
      </w:r>
      <w:r w:rsidR="006F7850">
        <w:rPr>
          <w:sz w:val="26"/>
          <w:szCs w:val="26"/>
        </w:rPr>
        <w:t>s</w:t>
      </w:r>
      <w:r w:rsidRPr="00B7292A">
        <w:rPr>
          <w:sz w:val="26"/>
          <w:szCs w:val="26"/>
        </w:rPr>
        <w:t xml:space="preserve"> at or below 150% FPIG.  ACORN MB at 15.</w:t>
      </w:r>
    </w:p>
    <w:p w:rsidR="00551FEB" w:rsidRPr="00B7292A" w:rsidRDefault="00551FEB" w:rsidP="00551FEB">
      <w:pPr>
        <w:spacing w:line="360" w:lineRule="auto"/>
        <w:ind w:firstLine="720"/>
        <w:rPr>
          <w:sz w:val="26"/>
          <w:szCs w:val="26"/>
        </w:rPr>
      </w:pPr>
    </w:p>
    <w:p w:rsidR="00551FEB" w:rsidRPr="00B7292A" w:rsidRDefault="00551FEB" w:rsidP="00551FEB">
      <w:pPr>
        <w:spacing w:line="360" w:lineRule="auto"/>
        <w:ind w:firstLine="1440"/>
        <w:rPr>
          <w:sz w:val="26"/>
          <w:szCs w:val="26"/>
        </w:rPr>
      </w:pPr>
      <w:r w:rsidRPr="00B7292A">
        <w:rPr>
          <w:sz w:val="26"/>
          <w:szCs w:val="26"/>
        </w:rPr>
        <w:t xml:space="preserve">Initially, </w:t>
      </w:r>
      <w:r w:rsidR="00B42D8D">
        <w:rPr>
          <w:sz w:val="26"/>
          <w:szCs w:val="26"/>
        </w:rPr>
        <w:t>FirstEnergy</w:t>
      </w:r>
      <w:r w:rsidR="00C84009">
        <w:rPr>
          <w:sz w:val="26"/>
          <w:szCs w:val="26"/>
        </w:rPr>
        <w:t xml:space="preserve"> </w:t>
      </w:r>
      <w:r w:rsidRPr="00B7292A">
        <w:rPr>
          <w:sz w:val="26"/>
          <w:szCs w:val="26"/>
        </w:rPr>
        <w:t xml:space="preserve">asserted that there were at least nine programs that </w:t>
      </w:r>
      <w:r w:rsidR="003A49E6">
        <w:rPr>
          <w:sz w:val="26"/>
          <w:szCs w:val="26"/>
        </w:rPr>
        <w:t>low-income</w:t>
      </w:r>
      <w:r w:rsidRPr="00B7292A">
        <w:rPr>
          <w:sz w:val="26"/>
          <w:szCs w:val="26"/>
        </w:rPr>
        <w:t xml:space="preserve"> households can participate in that are not part </w:t>
      </w:r>
      <w:r w:rsidR="00C90E24">
        <w:rPr>
          <w:sz w:val="26"/>
          <w:szCs w:val="26"/>
        </w:rPr>
        <w:t>of the existing WARM program.  FirstEnergy M</w:t>
      </w:r>
      <w:r w:rsidRPr="00B7292A">
        <w:rPr>
          <w:sz w:val="26"/>
          <w:szCs w:val="26"/>
        </w:rPr>
        <w:t>B at 24.  The Companies later filed revised plans which include</w:t>
      </w:r>
      <w:r w:rsidR="006F7850">
        <w:rPr>
          <w:sz w:val="26"/>
          <w:szCs w:val="26"/>
        </w:rPr>
        <w:t>d</w:t>
      </w:r>
      <w:r w:rsidRPr="00B7292A">
        <w:rPr>
          <w:sz w:val="26"/>
          <w:szCs w:val="26"/>
        </w:rPr>
        <w:t xml:space="preserve"> changes to </w:t>
      </w:r>
      <w:r w:rsidR="006F7850">
        <w:rPr>
          <w:sz w:val="26"/>
          <w:szCs w:val="26"/>
        </w:rPr>
        <w:t xml:space="preserve">its </w:t>
      </w:r>
      <w:r w:rsidR="003A49E6">
        <w:rPr>
          <w:sz w:val="26"/>
          <w:szCs w:val="26"/>
        </w:rPr>
        <w:t>low-income</w:t>
      </w:r>
      <w:r w:rsidRPr="00B7292A">
        <w:rPr>
          <w:sz w:val="26"/>
          <w:szCs w:val="26"/>
        </w:rPr>
        <w:t xml:space="preserve"> program</w:t>
      </w:r>
      <w:r w:rsidR="007A1FCB">
        <w:rPr>
          <w:sz w:val="26"/>
          <w:szCs w:val="26"/>
        </w:rPr>
        <w:t>, now referred to as the WARM Plus program</w:t>
      </w:r>
      <w:r w:rsidRPr="00B7292A">
        <w:rPr>
          <w:sz w:val="26"/>
          <w:szCs w:val="26"/>
        </w:rPr>
        <w:t xml:space="preserve">.  </w:t>
      </w:r>
      <w:r w:rsidR="00B42D8D">
        <w:rPr>
          <w:sz w:val="26"/>
          <w:szCs w:val="26"/>
        </w:rPr>
        <w:t>FirstEnergy</w:t>
      </w:r>
      <w:r w:rsidRPr="00B7292A">
        <w:rPr>
          <w:sz w:val="26"/>
          <w:szCs w:val="26"/>
        </w:rPr>
        <w:t xml:space="preserve"> asserts that the WARM Plus program will include additional eligible customers</w:t>
      </w:r>
      <w:r w:rsidR="006F7850">
        <w:rPr>
          <w:sz w:val="26"/>
          <w:szCs w:val="26"/>
        </w:rPr>
        <w:t xml:space="preserve">.  In addition, </w:t>
      </w:r>
      <w:r w:rsidRPr="00B7292A">
        <w:rPr>
          <w:sz w:val="26"/>
          <w:szCs w:val="26"/>
        </w:rPr>
        <w:t>participants will receiv</w:t>
      </w:r>
      <w:r w:rsidR="00BB6552">
        <w:rPr>
          <w:sz w:val="26"/>
          <w:szCs w:val="26"/>
        </w:rPr>
        <w:t>e additional compact fluorescent lamp</w:t>
      </w:r>
      <w:r w:rsidRPr="00B7292A">
        <w:rPr>
          <w:sz w:val="26"/>
          <w:szCs w:val="26"/>
        </w:rPr>
        <w:t xml:space="preserve">s and power strips not included in the current WARM program.  </w:t>
      </w:r>
      <w:r w:rsidR="00B42D8D">
        <w:rPr>
          <w:sz w:val="26"/>
          <w:szCs w:val="26"/>
        </w:rPr>
        <w:t>FirstEnergy</w:t>
      </w:r>
      <w:r w:rsidRPr="00B7292A">
        <w:rPr>
          <w:sz w:val="26"/>
          <w:szCs w:val="26"/>
        </w:rPr>
        <w:t xml:space="preserve"> also has a program for </w:t>
      </w:r>
      <w:r w:rsidR="006F7850">
        <w:rPr>
          <w:sz w:val="26"/>
          <w:szCs w:val="26"/>
        </w:rPr>
        <w:t>tenants in m</w:t>
      </w:r>
      <w:r w:rsidRPr="00B7292A">
        <w:rPr>
          <w:sz w:val="26"/>
          <w:szCs w:val="26"/>
        </w:rPr>
        <w:t>ulti-</w:t>
      </w:r>
      <w:r w:rsidR="006F7850">
        <w:rPr>
          <w:sz w:val="26"/>
          <w:szCs w:val="26"/>
        </w:rPr>
        <w:t>f</w:t>
      </w:r>
      <w:r w:rsidRPr="00B7292A">
        <w:rPr>
          <w:sz w:val="26"/>
          <w:szCs w:val="26"/>
        </w:rPr>
        <w:t xml:space="preserve">amily buildings </w:t>
      </w:r>
      <w:r w:rsidR="005B66E2">
        <w:rPr>
          <w:sz w:val="26"/>
          <w:szCs w:val="26"/>
        </w:rPr>
        <w:t>served</w:t>
      </w:r>
      <w:r w:rsidRPr="00B7292A">
        <w:rPr>
          <w:sz w:val="26"/>
          <w:szCs w:val="26"/>
        </w:rPr>
        <w:t xml:space="preserve"> by </w:t>
      </w:r>
      <w:r w:rsidR="005B66E2">
        <w:rPr>
          <w:sz w:val="26"/>
          <w:szCs w:val="26"/>
        </w:rPr>
        <w:t xml:space="preserve">the </w:t>
      </w:r>
      <w:r w:rsidRPr="00B7292A">
        <w:rPr>
          <w:sz w:val="26"/>
          <w:szCs w:val="26"/>
        </w:rPr>
        <w:t xml:space="preserve">Pennsylvania Housing </w:t>
      </w:r>
      <w:r w:rsidRPr="00B7292A">
        <w:rPr>
          <w:sz w:val="26"/>
          <w:szCs w:val="26"/>
        </w:rPr>
        <w:lastRenderedPageBreak/>
        <w:t xml:space="preserve">Finance Authority (PHFA).  </w:t>
      </w:r>
      <w:r w:rsidR="00B42D8D">
        <w:rPr>
          <w:sz w:val="26"/>
          <w:szCs w:val="26"/>
        </w:rPr>
        <w:t>FirstEnergy</w:t>
      </w:r>
      <w:r w:rsidRPr="00B7292A">
        <w:rPr>
          <w:sz w:val="26"/>
          <w:szCs w:val="26"/>
        </w:rPr>
        <w:t xml:space="preserve"> asserts that this program will target </w:t>
      </w:r>
      <w:r w:rsidR="003A49E6">
        <w:rPr>
          <w:sz w:val="26"/>
          <w:szCs w:val="26"/>
        </w:rPr>
        <w:t>low-income</w:t>
      </w:r>
      <w:r w:rsidRPr="00B7292A">
        <w:rPr>
          <w:sz w:val="26"/>
          <w:szCs w:val="26"/>
        </w:rPr>
        <w:t xml:space="preserve"> communities.  </w:t>
      </w:r>
      <w:r w:rsidR="00B42D8D">
        <w:rPr>
          <w:sz w:val="26"/>
          <w:szCs w:val="26"/>
        </w:rPr>
        <w:t>FirstEnergy</w:t>
      </w:r>
      <w:r w:rsidRPr="00B7292A">
        <w:rPr>
          <w:sz w:val="26"/>
          <w:szCs w:val="26"/>
        </w:rPr>
        <w:t xml:space="preserve"> states that the program costs will be tracked thr</w:t>
      </w:r>
      <w:r w:rsidR="005B66E2">
        <w:rPr>
          <w:sz w:val="26"/>
          <w:szCs w:val="26"/>
        </w:rPr>
        <w:t>o</w:t>
      </w:r>
      <w:r w:rsidRPr="00B7292A">
        <w:rPr>
          <w:sz w:val="26"/>
          <w:szCs w:val="26"/>
        </w:rPr>
        <w:t>u</w:t>
      </w:r>
      <w:r w:rsidR="005B66E2">
        <w:rPr>
          <w:sz w:val="26"/>
          <w:szCs w:val="26"/>
        </w:rPr>
        <w:t>gh</w:t>
      </w:r>
      <w:r w:rsidRPr="00B7292A">
        <w:rPr>
          <w:sz w:val="26"/>
          <w:szCs w:val="26"/>
        </w:rPr>
        <w:t xml:space="preserve"> </w:t>
      </w:r>
      <w:r w:rsidR="00CF257A">
        <w:rPr>
          <w:sz w:val="26"/>
          <w:szCs w:val="26"/>
        </w:rPr>
        <w:t xml:space="preserve">appropriate </w:t>
      </w:r>
      <w:r w:rsidRPr="00B7292A">
        <w:rPr>
          <w:sz w:val="26"/>
          <w:szCs w:val="26"/>
        </w:rPr>
        <w:t xml:space="preserve">residential, commercial/industrial or government </w:t>
      </w:r>
      <w:r w:rsidR="00CF257A">
        <w:rPr>
          <w:sz w:val="26"/>
          <w:szCs w:val="26"/>
        </w:rPr>
        <w:t>programs</w:t>
      </w:r>
      <w:r w:rsidRPr="00B7292A">
        <w:rPr>
          <w:sz w:val="26"/>
          <w:szCs w:val="26"/>
        </w:rPr>
        <w:t>.  Penelec</w:t>
      </w:r>
      <w:r w:rsidR="00CF257A">
        <w:rPr>
          <w:sz w:val="26"/>
          <w:szCs w:val="26"/>
        </w:rPr>
        <w:t>’s September 21, 2009</w:t>
      </w:r>
      <w:r w:rsidRPr="00B7292A">
        <w:rPr>
          <w:sz w:val="26"/>
          <w:szCs w:val="26"/>
        </w:rPr>
        <w:t xml:space="preserve"> Plan at 3-5.  </w:t>
      </w:r>
      <w:r w:rsidR="00B42D8D">
        <w:rPr>
          <w:sz w:val="26"/>
          <w:szCs w:val="26"/>
        </w:rPr>
        <w:t>FirstEnergy</w:t>
      </w:r>
      <w:r w:rsidRPr="00B7292A">
        <w:rPr>
          <w:sz w:val="26"/>
          <w:szCs w:val="26"/>
        </w:rPr>
        <w:t xml:space="preserve"> further states that </w:t>
      </w:r>
      <w:r w:rsidR="003A49E6">
        <w:rPr>
          <w:sz w:val="26"/>
          <w:szCs w:val="26"/>
        </w:rPr>
        <w:t>low-income</w:t>
      </w:r>
      <w:r w:rsidRPr="00B7292A">
        <w:rPr>
          <w:sz w:val="26"/>
          <w:szCs w:val="26"/>
        </w:rPr>
        <w:t xml:space="preserve"> customers are eligible to participate in other residential programs and will be tracked and reported to support assessments of equitable treatment of </w:t>
      </w:r>
      <w:r w:rsidR="003A49E6">
        <w:rPr>
          <w:sz w:val="26"/>
          <w:szCs w:val="26"/>
        </w:rPr>
        <w:t>low-income</w:t>
      </w:r>
      <w:r w:rsidRPr="00B7292A">
        <w:rPr>
          <w:sz w:val="26"/>
          <w:szCs w:val="26"/>
        </w:rPr>
        <w:t xml:space="preserve"> customers.  </w:t>
      </w:r>
      <w:r w:rsidR="00CF257A" w:rsidRPr="00CF257A">
        <w:rPr>
          <w:i/>
          <w:sz w:val="26"/>
          <w:szCs w:val="26"/>
        </w:rPr>
        <w:t>Id</w:t>
      </w:r>
      <w:r w:rsidR="00CF257A">
        <w:rPr>
          <w:sz w:val="26"/>
          <w:szCs w:val="26"/>
        </w:rPr>
        <w:t>.</w:t>
      </w:r>
      <w:r w:rsidRPr="00B7292A">
        <w:rPr>
          <w:sz w:val="26"/>
          <w:szCs w:val="26"/>
        </w:rPr>
        <w:t xml:space="preserve"> at 4.   </w:t>
      </w:r>
      <w:r w:rsidR="00B42D8D">
        <w:rPr>
          <w:sz w:val="26"/>
          <w:szCs w:val="26"/>
        </w:rPr>
        <w:t>FirstEnergy</w:t>
      </w:r>
      <w:r w:rsidRPr="00B7292A">
        <w:rPr>
          <w:sz w:val="26"/>
          <w:szCs w:val="26"/>
        </w:rPr>
        <w:t xml:space="preserve"> asserts that the WARM Plus program marketing activities will be coordinated with other Act 129 programs</w:t>
      </w:r>
      <w:r w:rsidR="00233680">
        <w:rPr>
          <w:sz w:val="26"/>
          <w:szCs w:val="26"/>
        </w:rPr>
        <w:t>;</w:t>
      </w:r>
      <w:r w:rsidR="00233680" w:rsidRPr="00B7292A">
        <w:rPr>
          <w:sz w:val="26"/>
          <w:szCs w:val="26"/>
        </w:rPr>
        <w:t xml:space="preserve"> </w:t>
      </w:r>
      <w:r w:rsidRPr="00B7292A">
        <w:rPr>
          <w:sz w:val="26"/>
          <w:szCs w:val="26"/>
        </w:rPr>
        <w:t xml:space="preserve">the Companies’ </w:t>
      </w:r>
      <w:r w:rsidR="00233680">
        <w:rPr>
          <w:sz w:val="26"/>
          <w:szCs w:val="26"/>
        </w:rPr>
        <w:t xml:space="preserve">programs; </w:t>
      </w:r>
      <w:r w:rsidRPr="00B7292A">
        <w:rPr>
          <w:sz w:val="26"/>
          <w:szCs w:val="26"/>
        </w:rPr>
        <w:t>other state low-income programs</w:t>
      </w:r>
      <w:r w:rsidR="00233680">
        <w:rPr>
          <w:sz w:val="26"/>
          <w:szCs w:val="26"/>
        </w:rPr>
        <w:t>,</w:t>
      </w:r>
      <w:r w:rsidRPr="00B7292A">
        <w:rPr>
          <w:sz w:val="26"/>
          <w:szCs w:val="26"/>
        </w:rPr>
        <w:t xml:space="preserve"> such as the Customer Assistance Program (CAP</w:t>
      </w:r>
      <w:r w:rsidR="00233680" w:rsidRPr="00B7292A">
        <w:rPr>
          <w:sz w:val="26"/>
          <w:szCs w:val="26"/>
        </w:rPr>
        <w:t>)</w:t>
      </w:r>
      <w:r w:rsidR="00233680">
        <w:rPr>
          <w:sz w:val="26"/>
          <w:szCs w:val="26"/>
        </w:rPr>
        <w:t>;</w:t>
      </w:r>
      <w:r w:rsidR="00233680" w:rsidRPr="00B7292A">
        <w:rPr>
          <w:sz w:val="26"/>
          <w:szCs w:val="26"/>
        </w:rPr>
        <w:t xml:space="preserve"> </w:t>
      </w:r>
      <w:r w:rsidR="00C84009">
        <w:rPr>
          <w:sz w:val="26"/>
          <w:szCs w:val="26"/>
        </w:rPr>
        <w:t xml:space="preserve">the </w:t>
      </w:r>
      <w:r w:rsidRPr="00B7292A">
        <w:rPr>
          <w:sz w:val="26"/>
          <w:szCs w:val="26"/>
        </w:rPr>
        <w:t>Dep</w:t>
      </w:r>
      <w:r w:rsidR="00C84009">
        <w:rPr>
          <w:sz w:val="26"/>
          <w:szCs w:val="26"/>
        </w:rPr>
        <w:t>ar</w:t>
      </w:r>
      <w:r w:rsidRPr="00B7292A">
        <w:rPr>
          <w:sz w:val="26"/>
          <w:szCs w:val="26"/>
        </w:rPr>
        <w:t>t</w:t>
      </w:r>
      <w:r w:rsidR="00C84009">
        <w:rPr>
          <w:sz w:val="26"/>
          <w:szCs w:val="26"/>
        </w:rPr>
        <w:t>ment</w:t>
      </w:r>
      <w:r w:rsidRPr="00B7292A">
        <w:rPr>
          <w:sz w:val="26"/>
          <w:szCs w:val="26"/>
        </w:rPr>
        <w:t xml:space="preserve"> of Public Welfare</w:t>
      </w:r>
      <w:r w:rsidR="00233680">
        <w:rPr>
          <w:sz w:val="26"/>
          <w:szCs w:val="26"/>
        </w:rPr>
        <w:t>;</w:t>
      </w:r>
      <w:r w:rsidR="00233680" w:rsidRPr="00B7292A">
        <w:rPr>
          <w:sz w:val="26"/>
          <w:szCs w:val="26"/>
        </w:rPr>
        <w:t xml:space="preserve"> </w:t>
      </w:r>
      <w:r w:rsidRPr="00B7292A">
        <w:rPr>
          <w:sz w:val="26"/>
          <w:szCs w:val="26"/>
        </w:rPr>
        <w:t>PHFA</w:t>
      </w:r>
      <w:r w:rsidR="00233680">
        <w:rPr>
          <w:sz w:val="26"/>
          <w:szCs w:val="26"/>
        </w:rPr>
        <w:t>;</w:t>
      </w:r>
      <w:r w:rsidR="00233680" w:rsidRPr="00B7292A">
        <w:rPr>
          <w:sz w:val="26"/>
          <w:szCs w:val="26"/>
        </w:rPr>
        <w:t xml:space="preserve"> </w:t>
      </w:r>
      <w:r w:rsidRPr="00B7292A">
        <w:rPr>
          <w:sz w:val="26"/>
          <w:szCs w:val="26"/>
        </w:rPr>
        <w:t>gas utilities</w:t>
      </w:r>
      <w:r w:rsidR="00233680">
        <w:rPr>
          <w:sz w:val="26"/>
          <w:szCs w:val="26"/>
        </w:rPr>
        <w:t>;</w:t>
      </w:r>
      <w:r w:rsidR="00233680" w:rsidRPr="00B7292A">
        <w:rPr>
          <w:sz w:val="26"/>
          <w:szCs w:val="26"/>
        </w:rPr>
        <w:t xml:space="preserve"> </w:t>
      </w:r>
      <w:r w:rsidR="00C84009">
        <w:rPr>
          <w:sz w:val="26"/>
          <w:szCs w:val="26"/>
        </w:rPr>
        <w:t xml:space="preserve">the </w:t>
      </w:r>
      <w:r w:rsidRPr="00B7292A">
        <w:rPr>
          <w:sz w:val="26"/>
          <w:szCs w:val="26"/>
        </w:rPr>
        <w:t>D</w:t>
      </w:r>
      <w:r w:rsidR="00C84009">
        <w:rPr>
          <w:sz w:val="26"/>
          <w:szCs w:val="26"/>
        </w:rPr>
        <w:t xml:space="preserve">epartment of </w:t>
      </w:r>
      <w:r w:rsidRPr="00B7292A">
        <w:rPr>
          <w:sz w:val="26"/>
          <w:szCs w:val="26"/>
        </w:rPr>
        <w:t>C</w:t>
      </w:r>
      <w:r w:rsidR="00C84009">
        <w:rPr>
          <w:sz w:val="26"/>
          <w:szCs w:val="26"/>
        </w:rPr>
        <w:t xml:space="preserve">ommunity and </w:t>
      </w:r>
      <w:r w:rsidRPr="00B7292A">
        <w:rPr>
          <w:sz w:val="26"/>
          <w:szCs w:val="26"/>
        </w:rPr>
        <w:t>E</w:t>
      </w:r>
      <w:r w:rsidR="00C84009">
        <w:rPr>
          <w:sz w:val="26"/>
          <w:szCs w:val="26"/>
        </w:rPr>
        <w:t xml:space="preserve">conomic </w:t>
      </w:r>
      <w:r w:rsidRPr="00B7292A">
        <w:rPr>
          <w:sz w:val="26"/>
          <w:szCs w:val="26"/>
        </w:rPr>
        <w:t>D</w:t>
      </w:r>
      <w:r w:rsidR="00C84009">
        <w:rPr>
          <w:sz w:val="26"/>
          <w:szCs w:val="26"/>
        </w:rPr>
        <w:t>evelopment</w:t>
      </w:r>
      <w:r w:rsidR="00D76057">
        <w:rPr>
          <w:sz w:val="26"/>
          <w:szCs w:val="26"/>
        </w:rPr>
        <w:t>’s</w:t>
      </w:r>
      <w:r w:rsidRPr="00B7292A">
        <w:rPr>
          <w:sz w:val="26"/>
          <w:szCs w:val="26"/>
        </w:rPr>
        <w:t xml:space="preserve"> Weatherization Assistance Program</w:t>
      </w:r>
      <w:r w:rsidR="00233680">
        <w:rPr>
          <w:sz w:val="26"/>
          <w:szCs w:val="26"/>
        </w:rPr>
        <w:t>;</w:t>
      </w:r>
      <w:r w:rsidR="00233680" w:rsidRPr="00B7292A">
        <w:rPr>
          <w:sz w:val="26"/>
          <w:szCs w:val="26"/>
        </w:rPr>
        <w:t xml:space="preserve"> </w:t>
      </w:r>
      <w:r w:rsidRPr="00B7292A">
        <w:rPr>
          <w:sz w:val="26"/>
          <w:szCs w:val="26"/>
        </w:rPr>
        <w:t>the NGDC LIURP program</w:t>
      </w:r>
      <w:r w:rsidR="00233680">
        <w:rPr>
          <w:sz w:val="26"/>
          <w:szCs w:val="26"/>
        </w:rPr>
        <w:t>;</w:t>
      </w:r>
      <w:r w:rsidRPr="00B7292A">
        <w:rPr>
          <w:sz w:val="26"/>
          <w:szCs w:val="26"/>
        </w:rPr>
        <w:t xml:space="preserve"> and </w:t>
      </w:r>
      <w:r w:rsidR="00233680" w:rsidRPr="00B7292A">
        <w:rPr>
          <w:sz w:val="26"/>
          <w:szCs w:val="26"/>
        </w:rPr>
        <w:t>community</w:t>
      </w:r>
      <w:r w:rsidR="00233680">
        <w:rPr>
          <w:sz w:val="26"/>
          <w:szCs w:val="26"/>
        </w:rPr>
        <w:t>-</w:t>
      </w:r>
      <w:r w:rsidRPr="00B7292A">
        <w:rPr>
          <w:sz w:val="26"/>
          <w:szCs w:val="26"/>
        </w:rPr>
        <w:t>based organization initiatives.  Penelec</w:t>
      </w:r>
      <w:r w:rsidR="00C84009">
        <w:rPr>
          <w:sz w:val="26"/>
          <w:szCs w:val="26"/>
        </w:rPr>
        <w:t>’s September 21, 2009</w:t>
      </w:r>
      <w:r w:rsidRPr="00B7292A">
        <w:rPr>
          <w:sz w:val="26"/>
          <w:szCs w:val="26"/>
        </w:rPr>
        <w:t xml:space="preserve"> Plan at 58.</w:t>
      </w:r>
    </w:p>
    <w:p w:rsidR="00360C77" w:rsidRDefault="00360C77" w:rsidP="008E7C8E">
      <w:pPr>
        <w:spacing w:line="360" w:lineRule="auto"/>
        <w:ind w:firstLine="2880"/>
        <w:rPr>
          <w:sz w:val="26"/>
          <w:szCs w:val="26"/>
        </w:rPr>
      </w:pPr>
    </w:p>
    <w:p w:rsidR="008E7C8E" w:rsidRPr="008E7C8E" w:rsidRDefault="008E7C8E" w:rsidP="00940B59">
      <w:pPr>
        <w:pStyle w:val="Heading4"/>
      </w:pPr>
      <w:bookmarkStart w:id="56" w:name="_Toc242516241"/>
      <w:bookmarkStart w:id="57" w:name="_Toc244499297"/>
      <w:r>
        <w:t>b.</w:t>
      </w:r>
      <w:r w:rsidR="00B6382E">
        <w:t xml:space="preserve">  </w:t>
      </w:r>
      <w:r w:rsidR="006F4B78">
        <w:tab/>
      </w:r>
      <w:r w:rsidRPr="008E7C8E">
        <w:t>Disposition</w:t>
      </w:r>
      <w:bookmarkEnd w:id="56"/>
      <w:bookmarkEnd w:id="57"/>
    </w:p>
    <w:p w:rsidR="0029321C" w:rsidRDefault="0029321C" w:rsidP="0029321C">
      <w:pPr>
        <w:spacing w:line="360" w:lineRule="auto"/>
        <w:ind w:firstLine="1440"/>
        <w:rPr>
          <w:sz w:val="26"/>
          <w:szCs w:val="26"/>
        </w:rPr>
      </w:pPr>
    </w:p>
    <w:p w:rsidR="008F46B9" w:rsidRPr="00B7292A" w:rsidRDefault="008F46B9" w:rsidP="008F46B9">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B7292A">
        <w:rPr>
          <w:sz w:val="26"/>
          <w:szCs w:val="26"/>
        </w:rPr>
        <w:t>66 Pa. C.S. § 2806</w:t>
      </w:r>
      <w:r w:rsidR="00C3088F">
        <w:rPr>
          <w:sz w:val="26"/>
          <w:szCs w:val="26"/>
        </w:rPr>
        <w:t>.1</w:t>
      </w:r>
      <w:r w:rsidRPr="00B7292A">
        <w:rPr>
          <w:sz w:val="26"/>
          <w:szCs w:val="26"/>
        </w:rPr>
        <w:t>(b)</w:t>
      </w:r>
      <w:r w:rsidR="00C3088F">
        <w:rPr>
          <w:sz w:val="26"/>
          <w:szCs w:val="26"/>
        </w:rPr>
        <w:t>(1)</w:t>
      </w:r>
      <w:r w:rsidRPr="00B7292A">
        <w:rPr>
          <w:sz w:val="26"/>
          <w:szCs w:val="26"/>
        </w:rPr>
        <w:t>(i)(G) reads in pertinent part as follows:</w:t>
      </w:r>
    </w:p>
    <w:p w:rsidR="00D76057" w:rsidRDefault="00D76057" w:rsidP="00C3088F">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p>
    <w:p w:rsidR="008F46B9" w:rsidRPr="00B7292A" w:rsidRDefault="008F46B9" w:rsidP="00C3088F">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B7292A">
        <w:rPr>
          <w:sz w:val="26"/>
          <w:szCs w:val="26"/>
        </w:rPr>
        <w:t>(G)   The plan shall include specific energy efficiency measures</w:t>
      </w:r>
      <w:r w:rsidRPr="00B7292A">
        <w:rPr>
          <w:sz w:val="26"/>
          <w:szCs w:val="26"/>
          <w:vertAlign w:val="superscript"/>
        </w:rPr>
        <w:footnoteReference w:id="24"/>
      </w:r>
      <w:r w:rsidRPr="00B7292A">
        <w:rPr>
          <w:sz w:val="26"/>
          <w:szCs w:val="26"/>
        </w:rPr>
        <w:t xml:space="preserve"> for households at or below 150% of the Federal poverty income guidelines.  The number of measures shall be proportionate to those households’ share of the total energy usage</w:t>
      </w:r>
      <w:r w:rsidRPr="00B7292A">
        <w:rPr>
          <w:sz w:val="26"/>
          <w:szCs w:val="26"/>
          <w:vertAlign w:val="superscript"/>
        </w:rPr>
        <w:footnoteReference w:id="25"/>
      </w:r>
      <w:r w:rsidRPr="00B7292A">
        <w:rPr>
          <w:sz w:val="26"/>
          <w:szCs w:val="26"/>
        </w:rPr>
        <w:t xml:space="preserve"> in the service territory.</w:t>
      </w:r>
    </w:p>
    <w:p w:rsidR="008F46B9" w:rsidRPr="00B7292A" w:rsidRDefault="008F46B9" w:rsidP="008F46B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8F46B9" w:rsidRPr="00B7292A" w:rsidRDefault="008F46B9" w:rsidP="008F46B9">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B7292A">
        <w:rPr>
          <w:sz w:val="26"/>
          <w:szCs w:val="26"/>
        </w:rPr>
        <w:t xml:space="preserve">Despite the </w:t>
      </w:r>
      <w:r w:rsidR="00233680">
        <w:rPr>
          <w:sz w:val="26"/>
          <w:szCs w:val="26"/>
        </w:rPr>
        <w:t>complicated</w:t>
      </w:r>
      <w:r w:rsidR="00233680" w:rsidRPr="00B7292A">
        <w:rPr>
          <w:sz w:val="26"/>
          <w:szCs w:val="26"/>
        </w:rPr>
        <w:t xml:space="preserve"> </w:t>
      </w:r>
      <w:r w:rsidRPr="00B7292A">
        <w:rPr>
          <w:sz w:val="26"/>
          <w:szCs w:val="26"/>
        </w:rPr>
        <w:t xml:space="preserve">exercise in statutory construction that has been undertaken by some </w:t>
      </w:r>
      <w:r w:rsidR="000212DB">
        <w:rPr>
          <w:sz w:val="26"/>
          <w:szCs w:val="26"/>
        </w:rPr>
        <w:t>Parties</w:t>
      </w:r>
      <w:r w:rsidRPr="00B7292A">
        <w:rPr>
          <w:sz w:val="26"/>
          <w:szCs w:val="26"/>
        </w:rPr>
        <w:t xml:space="preserve"> to explain this provision, the express language is quite clear</w:t>
      </w:r>
      <w:r w:rsidR="00951F63">
        <w:rPr>
          <w:sz w:val="26"/>
          <w:szCs w:val="26"/>
        </w:rPr>
        <w:t>.</w:t>
      </w:r>
      <w:r w:rsidRPr="00B7292A">
        <w:rPr>
          <w:sz w:val="26"/>
          <w:szCs w:val="26"/>
        </w:rPr>
        <w:t xml:space="preserve">  Its implementation, however, is another matter.  </w:t>
      </w:r>
    </w:p>
    <w:p w:rsidR="008F46B9" w:rsidRPr="00B7292A" w:rsidRDefault="008F46B9" w:rsidP="008F46B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8F46B9" w:rsidRPr="00B7292A" w:rsidRDefault="008F46B9" w:rsidP="008F46B9">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B7292A">
        <w:rPr>
          <w:sz w:val="26"/>
          <w:szCs w:val="26"/>
        </w:rPr>
        <w:lastRenderedPageBreak/>
        <w:t>According to Section 2806</w:t>
      </w:r>
      <w:r w:rsidR="006F23DC">
        <w:rPr>
          <w:sz w:val="26"/>
          <w:szCs w:val="26"/>
        </w:rPr>
        <w:t>.1</w:t>
      </w:r>
      <w:r w:rsidRPr="00B7292A">
        <w:rPr>
          <w:sz w:val="26"/>
          <w:szCs w:val="26"/>
        </w:rPr>
        <w:t>(b)</w:t>
      </w:r>
      <w:r w:rsidR="006F23DC">
        <w:rPr>
          <w:sz w:val="26"/>
          <w:szCs w:val="26"/>
        </w:rPr>
        <w:t>(1)</w:t>
      </w:r>
      <w:r w:rsidRPr="00B7292A">
        <w:rPr>
          <w:sz w:val="26"/>
          <w:szCs w:val="26"/>
        </w:rPr>
        <w:t xml:space="preserve">(i)(G), the number of energy efficiency measures that must be dedicated to low-income customers is calculated by first determining the percentage of total energy usage that is attributable to the low-income customer group.  This percentage is the percentage of the Act 129 Plan’s total energy efficiency measures that must be dedicated to low-income customers.  In other words, if an EDC’s plan contains forty measures, and the low-income customer group’s share of total energy usage for the service territory is 5%, then the plan must have two measures dedicated to increasing energy efficiency for </w:t>
      </w:r>
      <w:r w:rsidR="003A49E6">
        <w:rPr>
          <w:sz w:val="26"/>
          <w:szCs w:val="26"/>
        </w:rPr>
        <w:t>low-income</w:t>
      </w:r>
      <w:r w:rsidRPr="00B7292A">
        <w:rPr>
          <w:sz w:val="26"/>
          <w:szCs w:val="26"/>
        </w:rPr>
        <w:t xml:space="preserve"> customers.</w:t>
      </w:r>
    </w:p>
    <w:p w:rsidR="008F46B9" w:rsidRPr="00B7292A" w:rsidRDefault="008F46B9" w:rsidP="008F46B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8F46B9" w:rsidRPr="00B7292A" w:rsidRDefault="008F46B9" w:rsidP="008F46B9">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B7292A">
        <w:rPr>
          <w:sz w:val="26"/>
          <w:szCs w:val="26"/>
        </w:rPr>
        <w:t xml:space="preserve">While the term “energy efficiency and conservation measures” is defined at Section 2806.1(m), there is no information as to how measures should be quantified for apportionment to the </w:t>
      </w:r>
      <w:r w:rsidR="003A49E6">
        <w:rPr>
          <w:sz w:val="26"/>
          <w:szCs w:val="26"/>
        </w:rPr>
        <w:t>low-income</w:t>
      </w:r>
      <w:r w:rsidRPr="00B7292A">
        <w:rPr>
          <w:sz w:val="26"/>
          <w:szCs w:val="26"/>
        </w:rPr>
        <w:t xml:space="preserve"> customer group.  There also is no indication about the time frame for implementation of this requirement over the life of the EDC’s plan.</w:t>
      </w:r>
    </w:p>
    <w:p w:rsidR="008F46B9" w:rsidRPr="00B7292A" w:rsidRDefault="008F46B9" w:rsidP="008F46B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B6302" w:rsidRDefault="008F46B9" w:rsidP="008F46B9">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B7292A">
        <w:rPr>
          <w:sz w:val="26"/>
          <w:szCs w:val="26"/>
        </w:rPr>
        <w:t>Full implementation of Section 2806</w:t>
      </w:r>
      <w:r w:rsidR="007F6349">
        <w:rPr>
          <w:sz w:val="26"/>
          <w:szCs w:val="26"/>
        </w:rPr>
        <w:t>.1</w:t>
      </w:r>
      <w:r w:rsidRPr="00B7292A">
        <w:rPr>
          <w:sz w:val="26"/>
          <w:szCs w:val="26"/>
        </w:rPr>
        <w:t>(b)</w:t>
      </w:r>
      <w:r w:rsidR="007F6349">
        <w:rPr>
          <w:sz w:val="26"/>
          <w:szCs w:val="26"/>
        </w:rPr>
        <w:t>(1)</w:t>
      </w:r>
      <w:r w:rsidRPr="00B7292A">
        <w:rPr>
          <w:sz w:val="26"/>
          <w:szCs w:val="26"/>
        </w:rPr>
        <w:t>(i)(G) will take some time.  The usage data referred to in the Act is not readily available.  At this time, EDCs do not maintain information on energy usage by customer income level that can be used to determine the share of total energy usage in the service territory that is attributed to low-income customers.  As such, we are forced to use estimates and the tools at hand in order to achieve the</w:t>
      </w:r>
      <w:r w:rsidR="00603340">
        <w:rPr>
          <w:sz w:val="26"/>
          <w:szCs w:val="26"/>
        </w:rPr>
        <w:t xml:space="preserve"> goals of Act 129.  Currently</w:t>
      </w:r>
      <w:r w:rsidRPr="00B7292A">
        <w:rPr>
          <w:sz w:val="26"/>
          <w:szCs w:val="26"/>
        </w:rPr>
        <w:t xml:space="preserve">, the best way to evaluate a Plan’s compliance with this requirement is to review the method used by the EDC to calculate the low-income customer share for reasonableness and any census or other demographic data used in the calculation for relevance and reliability. </w:t>
      </w:r>
      <w:r>
        <w:rPr>
          <w:sz w:val="26"/>
          <w:szCs w:val="26"/>
        </w:rPr>
        <w:t xml:space="preserve">  </w:t>
      </w:r>
    </w:p>
    <w:p w:rsidR="006B6302" w:rsidRDefault="006B6302" w:rsidP="008F46B9">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BB6552" w:rsidRDefault="004013E8" w:rsidP="00BB6552">
      <w:pPr>
        <w:spacing w:line="360" w:lineRule="auto"/>
        <w:ind w:firstLine="1440"/>
        <w:rPr>
          <w:sz w:val="26"/>
          <w:szCs w:val="26"/>
        </w:rPr>
      </w:pPr>
      <w:r>
        <w:rPr>
          <w:sz w:val="26"/>
          <w:szCs w:val="26"/>
        </w:rPr>
        <w:t xml:space="preserve">Therefore, </w:t>
      </w:r>
      <w:r w:rsidR="008F46B9" w:rsidRPr="00B7292A">
        <w:rPr>
          <w:sz w:val="26"/>
          <w:szCs w:val="26"/>
        </w:rPr>
        <w:t>to ensure EDCs will be able to meet this requirement, the Commission will convene a working group that will be charged with developing implementation standards for compliance with Section 2806</w:t>
      </w:r>
      <w:r w:rsidR="00F943D6">
        <w:rPr>
          <w:sz w:val="26"/>
          <w:szCs w:val="26"/>
        </w:rPr>
        <w:t>.1</w:t>
      </w:r>
      <w:r w:rsidR="008F46B9" w:rsidRPr="00B7292A">
        <w:rPr>
          <w:sz w:val="26"/>
          <w:szCs w:val="26"/>
        </w:rPr>
        <w:t>(b)</w:t>
      </w:r>
      <w:r w:rsidR="00F943D6">
        <w:rPr>
          <w:sz w:val="26"/>
          <w:szCs w:val="26"/>
        </w:rPr>
        <w:t>(1)</w:t>
      </w:r>
      <w:r w:rsidR="008F46B9" w:rsidRPr="00B7292A">
        <w:rPr>
          <w:sz w:val="26"/>
          <w:szCs w:val="26"/>
        </w:rPr>
        <w:t xml:space="preserve">(i)(G).  </w:t>
      </w:r>
      <w:r w:rsidR="00BB6552" w:rsidRPr="00AE38F3">
        <w:rPr>
          <w:sz w:val="26"/>
          <w:szCs w:val="26"/>
        </w:rPr>
        <w:t xml:space="preserve">The working group will be composed of representatives from EDCs, consumer advocates, community-based organizations and other interested parties.  Specifically, the working group will be </w:t>
      </w:r>
      <w:r w:rsidR="00BB6552" w:rsidRPr="00AE38F3">
        <w:rPr>
          <w:sz w:val="26"/>
          <w:szCs w:val="26"/>
        </w:rPr>
        <w:lastRenderedPageBreak/>
        <w:t xml:space="preserve">charged with identifying the standardized data to be used to determine the proper proportion for low-income households.  If necessary, the working group may address other matters that require clarification before the annual reconciliation process.   The group shall provide its recommendations </w:t>
      </w:r>
      <w:r w:rsidR="00D64BE4">
        <w:rPr>
          <w:sz w:val="26"/>
          <w:szCs w:val="26"/>
        </w:rPr>
        <w:t>t</w:t>
      </w:r>
      <w:r w:rsidR="00BB6552" w:rsidRPr="00AE38F3">
        <w:rPr>
          <w:sz w:val="26"/>
          <w:szCs w:val="26"/>
        </w:rPr>
        <w:t>o</w:t>
      </w:r>
      <w:r w:rsidR="00D64BE4">
        <w:rPr>
          <w:sz w:val="26"/>
          <w:szCs w:val="26"/>
        </w:rPr>
        <w:t xml:space="preserve"> </w:t>
      </w:r>
      <w:r w:rsidR="00BB6552" w:rsidRPr="00AE38F3">
        <w:rPr>
          <w:sz w:val="26"/>
          <w:szCs w:val="26"/>
        </w:rPr>
        <w:t>the Co</w:t>
      </w:r>
      <w:r w:rsidR="00BB0053">
        <w:rPr>
          <w:sz w:val="26"/>
          <w:szCs w:val="26"/>
        </w:rPr>
        <w:t>mmission no later than February </w:t>
      </w:r>
      <w:r w:rsidR="00BB6552" w:rsidRPr="00AE38F3">
        <w:rPr>
          <w:sz w:val="26"/>
          <w:szCs w:val="26"/>
        </w:rPr>
        <w:t>16, 2010.</w:t>
      </w:r>
    </w:p>
    <w:p w:rsidR="004013E8" w:rsidRDefault="004013E8" w:rsidP="008F46B9">
      <w:pPr>
        <w:spacing w:line="360" w:lineRule="auto"/>
        <w:ind w:firstLine="1440"/>
        <w:rPr>
          <w:sz w:val="26"/>
          <w:szCs w:val="26"/>
        </w:rPr>
      </w:pPr>
    </w:p>
    <w:p w:rsidR="00952A3D" w:rsidRDefault="003D748D" w:rsidP="008F46B9">
      <w:pPr>
        <w:spacing w:line="360" w:lineRule="auto"/>
        <w:ind w:firstLine="1440"/>
        <w:rPr>
          <w:sz w:val="26"/>
          <w:szCs w:val="26"/>
        </w:rPr>
      </w:pPr>
      <w:r>
        <w:rPr>
          <w:sz w:val="26"/>
          <w:szCs w:val="26"/>
        </w:rPr>
        <w:t>T</w:t>
      </w:r>
      <w:r w:rsidR="00D76057">
        <w:rPr>
          <w:sz w:val="26"/>
          <w:szCs w:val="26"/>
        </w:rPr>
        <w:t xml:space="preserve">he </w:t>
      </w:r>
      <w:r w:rsidR="004013E8" w:rsidRPr="00B7292A">
        <w:rPr>
          <w:sz w:val="26"/>
          <w:szCs w:val="26"/>
        </w:rPr>
        <w:t xml:space="preserve">Companies’ Plans have one of nineteen programs </w:t>
      </w:r>
      <w:r w:rsidR="00E85560">
        <w:rPr>
          <w:sz w:val="26"/>
          <w:szCs w:val="26"/>
        </w:rPr>
        <w:t>(or 5.3</w:t>
      </w:r>
      <w:r>
        <w:rPr>
          <w:sz w:val="26"/>
          <w:szCs w:val="26"/>
        </w:rPr>
        <w:t xml:space="preserve">% of total programs) </w:t>
      </w:r>
      <w:r w:rsidR="004013E8" w:rsidRPr="00B7292A">
        <w:rPr>
          <w:sz w:val="26"/>
          <w:szCs w:val="26"/>
        </w:rPr>
        <w:t xml:space="preserve">that </w:t>
      </w:r>
      <w:r w:rsidR="00D76057">
        <w:rPr>
          <w:sz w:val="26"/>
          <w:szCs w:val="26"/>
        </w:rPr>
        <w:t xml:space="preserve">specifically </w:t>
      </w:r>
      <w:r w:rsidR="004013E8" w:rsidRPr="00B7292A">
        <w:rPr>
          <w:sz w:val="26"/>
          <w:szCs w:val="26"/>
        </w:rPr>
        <w:t xml:space="preserve">target </w:t>
      </w:r>
      <w:r w:rsidR="003A49E6">
        <w:rPr>
          <w:sz w:val="26"/>
          <w:szCs w:val="26"/>
        </w:rPr>
        <w:t>low-income</w:t>
      </w:r>
      <w:r w:rsidR="004013E8" w:rsidRPr="00B7292A">
        <w:rPr>
          <w:sz w:val="26"/>
          <w:szCs w:val="26"/>
        </w:rPr>
        <w:t xml:space="preserve"> customers</w:t>
      </w:r>
      <w:r>
        <w:rPr>
          <w:sz w:val="26"/>
          <w:szCs w:val="26"/>
        </w:rPr>
        <w:t xml:space="preserve">.  Although this figure is slightly lower than each Company’s estimate of total energy use attributable to low-income customers in FirstEnergy’s service territory, </w:t>
      </w:r>
      <w:r w:rsidR="004013E8" w:rsidRPr="00B7292A">
        <w:rPr>
          <w:sz w:val="26"/>
          <w:szCs w:val="26"/>
        </w:rPr>
        <w:t>eight other residential programs will be monitored for equitable partic</w:t>
      </w:r>
      <w:r>
        <w:rPr>
          <w:sz w:val="26"/>
          <w:szCs w:val="26"/>
        </w:rPr>
        <w:t xml:space="preserve">ipation of </w:t>
      </w:r>
      <w:r w:rsidR="003A49E6">
        <w:rPr>
          <w:sz w:val="26"/>
          <w:szCs w:val="26"/>
        </w:rPr>
        <w:t>low-income</w:t>
      </w:r>
      <w:r>
        <w:rPr>
          <w:sz w:val="26"/>
          <w:szCs w:val="26"/>
        </w:rPr>
        <w:t xml:space="preserve"> customers.  On this basis,</w:t>
      </w:r>
      <w:r w:rsidR="004013E8" w:rsidRPr="00B7292A">
        <w:rPr>
          <w:sz w:val="26"/>
          <w:szCs w:val="26"/>
        </w:rPr>
        <w:t xml:space="preserve"> </w:t>
      </w:r>
      <w:r w:rsidR="004013E8">
        <w:rPr>
          <w:sz w:val="26"/>
          <w:szCs w:val="26"/>
        </w:rPr>
        <w:t xml:space="preserve">we find that the </w:t>
      </w:r>
      <w:r w:rsidR="00D76057">
        <w:rPr>
          <w:sz w:val="26"/>
          <w:szCs w:val="26"/>
        </w:rPr>
        <w:t xml:space="preserve">Companies’ </w:t>
      </w:r>
      <w:r w:rsidR="004013E8">
        <w:rPr>
          <w:sz w:val="26"/>
          <w:szCs w:val="26"/>
        </w:rPr>
        <w:t xml:space="preserve">Plans include a “number of measures” proportionate to the </w:t>
      </w:r>
      <w:r w:rsidR="003A49E6">
        <w:rPr>
          <w:sz w:val="26"/>
          <w:szCs w:val="26"/>
        </w:rPr>
        <w:t>low-income</w:t>
      </w:r>
      <w:r w:rsidR="004013E8">
        <w:rPr>
          <w:sz w:val="26"/>
          <w:szCs w:val="26"/>
        </w:rPr>
        <w:t xml:space="preserve"> households’ share of total energy usage </w:t>
      </w:r>
      <w:r w:rsidR="004013E8" w:rsidRPr="00B7292A">
        <w:rPr>
          <w:sz w:val="26"/>
          <w:szCs w:val="26"/>
        </w:rPr>
        <w:t>at this time.</w:t>
      </w:r>
    </w:p>
    <w:p w:rsidR="00952A3D" w:rsidRDefault="00952A3D" w:rsidP="008F46B9">
      <w:pPr>
        <w:spacing w:line="360" w:lineRule="auto"/>
        <w:ind w:firstLine="1440"/>
        <w:rPr>
          <w:sz w:val="26"/>
          <w:szCs w:val="26"/>
        </w:rPr>
      </w:pPr>
    </w:p>
    <w:p w:rsidR="004013E8" w:rsidRPr="00B7292A" w:rsidRDefault="00952A3D" w:rsidP="008F46B9">
      <w:pPr>
        <w:spacing w:line="360" w:lineRule="auto"/>
        <w:ind w:firstLine="1440"/>
        <w:rPr>
          <w:sz w:val="26"/>
          <w:szCs w:val="26"/>
        </w:rPr>
      </w:pPr>
      <w:r>
        <w:rPr>
          <w:sz w:val="26"/>
          <w:szCs w:val="26"/>
        </w:rPr>
        <w:t xml:space="preserve">The Companies state that low-income customers are eligible to participate in other residential programs and their participation will be tracked and reported.  </w:t>
      </w:r>
      <w:r w:rsidR="00434683" w:rsidRPr="00434683">
        <w:rPr>
          <w:i/>
          <w:sz w:val="26"/>
          <w:szCs w:val="26"/>
        </w:rPr>
        <w:t>See</w:t>
      </w:r>
      <w:r>
        <w:rPr>
          <w:sz w:val="26"/>
          <w:szCs w:val="26"/>
        </w:rPr>
        <w:t xml:space="preserve"> Penelec’s September 21, 2009 Plan at 4.  </w:t>
      </w:r>
      <w:r w:rsidR="00E62783">
        <w:rPr>
          <w:sz w:val="26"/>
          <w:szCs w:val="26"/>
        </w:rPr>
        <w:t xml:space="preserve">To aid this Commission in ensuring compliance with Act 129, </w:t>
      </w:r>
      <w:r>
        <w:rPr>
          <w:sz w:val="26"/>
          <w:szCs w:val="26"/>
        </w:rPr>
        <w:t xml:space="preserve">the Companies </w:t>
      </w:r>
      <w:r w:rsidR="00E62783">
        <w:rPr>
          <w:sz w:val="26"/>
          <w:szCs w:val="26"/>
        </w:rPr>
        <w:t xml:space="preserve">are directed </w:t>
      </w:r>
      <w:r>
        <w:rPr>
          <w:sz w:val="26"/>
          <w:szCs w:val="26"/>
        </w:rPr>
        <w:t xml:space="preserve">to track instances in which low-income customers participate in residential and other programs that are not specifically directed </w:t>
      </w:r>
      <w:r w:rsidR="00E62783">
        <w:rPr>
          <w:sz w:val="26"/>
          <w:szCs w:val="26"/>
        </w:rPr>
        <w:t>toward</w:t>
      </w:r>
      <w:r>
        <w:rPr>
          <w:sz w:val="26"/>
          <w:szCs w:val="26"/>
        </w:rPr>
        <w:t xml:space="preserve"> low-income customers.</w:t>
      </w:r>
      <w:r w:rsidR="00E62783">
        <w:rPr>
          <w:sz w:val="26"/>
          <w:szCs w:val="26"/>
        </w:rPr>
        <w:t xml:space="preserve">  This information shall be included in the Companies’ annual report to the Commission.</w:t>
      </w:r>
      <w:r>
        <w:rPr>
          <w:sz w:val="26"/>
          <w:szCs w:val="26"/>
        </w:rPr>
        <w:t xml:space="preserve"> </w:t>
      </w:r>
      <w:r w:rsidR="00BB0053">
        <w:rPr>
          <w:sz w:val="26"/>
          <w:szCs w:val="26"/>
        </w:rPr>
        <w:t xml:space="preserve"> </w:t>
      </w:r>
    </w:p>
    <w:p w:rsidR="008F46B9" w:rsidRPr="00B7292A" w:rsidRDefault="008F46B9" w:rsidP="008F46B9">
      <w:pPr>
        <w:spacing w:line="360" w:lineRule="auto"/>
        <w:ind w:firstLine="1440"/>
        <w:rPr>
          <w:sz w:val="26"/>
          <w:szCs w:val="26"/>
        </w:rPr>
      </w:pPr>
    </w:p>
    <w:p w:rsidR="007E00E1" w:rsidRPr="00B7292A" w:rsidRDefault="001E4B37" w:rsidP="008F46B9">
      <w:pPr>
        <w:spacing w:line="360" w:lineRule="auto"/>
        <w:ind w:firstLine="1440"/>
        <w:rPr>
          <w:sz w:val="26"/>
          <w:szCs w:val="26"/>
        </w:rPr>
      </w:pPr>
      <w:r>
        <w:rPr>
          <w:sz w:val="26"/>
          <w:szCs w:val="26"/>
        </w:rPr>
        <w:t xml:space="preserve">We note, however, that </w:t>
      </w:r>
      <w:r w:rsidR="002A3637">
        <w:rPr>
          <w:sz w:val="26"/>
          <w:szCs w:val="26"/>
        </w:rPr>
        <w:t>t</w:t>
      </w:r>
      <w:r w:rsidR="008F46B9" w:rsidRPr="00B7292A">
        <w:rPr>
          <w:sz w:val="26"/>
          <w:szCs w:val="26"/>
        </w:rPr>
        <w:t xml:space="preserve">he Commission agrees </w:t>
      </w:r>
      <w:r w:rsidR="002A3637">
        <w:rPr>
          <w:sz w:val="26"/>
          <w:szCs w:val="26"/>
        </w:rPr>
        <w:t>with the OCA</w:t>
      </w:r>
      <w:r w:rsidR="008F46B9" w:rsidRPr="00B7292A">
        <w:rPr>
          <w:sz w:val="26"/>
          <w:szCs w:val="26"/>
        </w:rPr>
        <w:t xml:space="preserve"> that the energy saving</w:t>
      </w:r>
      <w:r w:rsidR="001A4A4E">
        <w:rPr>
          <w:sz w:val="26"/>
          <w:szCs w:val="26"/>
        </w:rPr>
        <w:t xml:space="preserve">s from </w:t>
      </w:r>
      <w:r w:rsidR="002A3637">
        <w:rPr>
          <w:sz w:val="26"/>
          <w:szCs w:val="26"/>
        </w:rPr>
        <w:t>existing WARM funds</w:t>
      </w:r>
      <w:r w:rsidR="008F46B9" w:rsidRPr="00B7292A">
        <w:rPr>
          <w:sz w:val="26"/>
          <w:szCs w:val="26"/>
        </w:rPr>
        <w:t xml:space="preserve"> are not derived from Act 129 programs and should not be attributed to the Companies’ </w:t>
      </w:r>
      <w:r w:rsidR="003A49E6">
        <w:rPr>
          <w:sz w:val="26"/>
          <w:szCs w:val="26"/>
        </w:rPr>
        <w:t>low-income</w:t>
      </w:r>
      <w:r w:rsidR="008F46B9" w:rsidRPr="00B7292A">
        <w:rPr>
          <w:sz w:val="26"/>
          <w:szCs w:val="26"/>
        </w:rPr>
        <w:t xml:space="preserve"> </w:t>
      </w:r>
      <w:r w:rsidR="001A4952">
        <w:rPr>
          <w:sz w:val="26"/>
          <w:szCs w:val="26"/>
        </w:rPr>
        <w:t xml:space="preserve">energy efficiency and demand </w:t>
      </w:r>
      <w:r w:rsidR="008F46B9" w:rsidRPr="00B7292A">
        <w:rPr>
          <w:sz w:val="26"/>
          <w:szCs w:val="26"/>
        </w:rPr>
        <w:t xml:space="preserve">reduction obligations under </w:t>
      </w:r>
      <w:r w:rsidR="008F46B9">
        <w:rPr>
          <w:sz w:val="26"/>
          <w:szCs w:val="26"/>
        </w:rPr>
        <w:t>Act</w:t>
      </w:r>
      <w:r w:rsidR="008F46B9" w:rsidRPr="00B7292A">
        <w:rPr>
          <w:sz w:val="26"/>
          <w:szCs w:val="26"/>
        </w:rPr>
        <w:t xml:space="preserve"> 129.  The </w:t>
      </w:r>
      <w:r w:rsidR="008F46B9">
        <w:rPr>
          <w:sz w:val="26"/>
          <w:szCs w:val="26"/>
        </w:rPr>
        <w:t>Act</w:t>
      </w:r>
      <w:r w:rsidR="008F46B9" w:rsidRPr="00B7292A">
        <w:rPr>
          <w:sz w:val="26"/>
          <w:szCs w:val="26"/>
        </w:rPr>
        <w:t xml:space="preserve"> requires that any Act 129 expenditures “shall be in addition to” existing funding for </w:t>
      </w:r>
      <w:r w:rsidR="003A49E6">
        <w:rPr>
          <w:sz w:val="26"/>
          <w:szCs w:val="26"/>
        </w:rPr>
        <w:t>low-income</w:t>
      </w:r>
      <w:r w:rsidR="008F46B9" w:rsidRPr="00B7292A">
        <w:rPr>
          <w:sz w:val="26"/>
          <w:szCs w:val="26"/>
        </w:rPr>
        <w:t xml:space="preserve"> usage reduction programs.  OCA RB </w:t>
      </w:r>
      <w:r w:rsidR="001A4952">
        <w:rPr>
          <w:sz w:val="26"/>
          <w:szCs w:val="26"/>
        </w:rPr>
        <w:t xml:space="preserve">at 6, </w:t>
      </w:r>
      <w:r w:rsidR="008F46B9">
        <w:rPr>
          <w:sz w:val="26"/>
          <w:szCs w:val="26"/>
        </w:rPr>
        <w:t>n. 3</w:t>
      </w:r>
      <w:r w:rsidR="008F46B9" w:rsidRPr="00B7292A">
        <w:rPr>
          <w:sz w:val="26"/>
          <w:szCs w:val="26"/>
        </w:rPr>
        <w:t xml:space="preserve">.  </w:t>
      </w:r>
      <w:r w:rsidR="0019448A" w:rsidRPr="00B7292A">
        <w:rPr>
          <w:sz w:val="26"/>
          <w:szCs w:val="26"/>
        </w:rPr>
        <w:t xml:space="preserve">Act 129 clearly excludes </w:t>
      </w:r>
      <w:r w:rsidR="00C3650A">
        <w:rPr>
          <w:sz w:val="26"/>
          <w:szCs w:val="26"/>
        </w:rPr>
        <w:t xml:space="preserve">existing </w:t>
      </w:r>
      <w:r w:rsidR="0019448A" w:rsidRPr="00B7292A">
        <w:rPr>
          <w:sz w:val="26"/>
          <w:szCs w:val="26"/>
        </w:rPr>
        <w:t xml:space="preserve">LIURP </w:t>
      </w:r>
      <w:r w:rsidR="0019448A">
        <w:rPr>
          <w:sz w:val="26"/>
          <w:szCs w:val="26"/>
        </w:rPr>
        <w:t xml:space="preserve">funds </w:t>
      </w:r>
      <w:r w:rsidR="0019448A" w:rsidRPr="00B7292A">
        <w:rPr>
          <w:sz w:val="26"/>
          <w:szCs w:val="26"/>
        </w:rPr>
        <w:t xml:space="preserve">from Act 129 funding obligations of the EDCs. </w:t>
      </w:r>
      <w:r w:rsidR="0019448A">
        <w:rPr>
          <w:sz w:val="26"/>
          <w:szCs w:val="26"/>
        </w:rPr>
        <w:t xml:space="preserve"> </w:t>
      </w:r>
      <w:r w:rsidR="008F46B9" w:rsidRPr="00B7292A">
        <w:rPr>
          <w:sz w:val="26"/>
          <w:szCs w:val="26"/>
        </w:rPr>
        <w:t>Consistent wit</w:t>
      </w:r>
      <w:r w:rsidR="001A4952">
        <w:rPr>
          <w:sz w:val="26"/>
          <w:szCs w:val="26"/>
        </w:rPr>
        <w:t>h the treatment of LIURP funds</w:t>
      </w:r>
      <w:r w:rsidR="008F46B9" w:rsidRPr="00B7292A">
        <w:rPr>
          <w:sz w:val="26"/>
          <w:szCs w:val="26"/>
        </w:rPr>
        <w:t xml:space="preserve"> in the </w:t>
      </w:r>
      <w:r w:rsidR="008F46B9" w:rsidRPr="00B7292A">
        <w:rPr>
          <w:sz w:val="26"/>
          <w:szCs w:val="26"/>
        </w:rPr>
        <w:lastRenderedPageBreak/>
        <w:t xml:space="preserve">Act, we believe that the energy savings from the existing LIURP program should also be excluded from Act 129 energy savings.  </w:t>
      </w:r>
      <w:r w:rsidR="00965C63">
        <w:rPr>
          <w:sz w:val="26"/>
          <w:szCs w:val="26"/>
        </w:rPr>
        <w:t xml:space="preserve">66 Pa. C.S. § </w:t>
      </w:r>
      <w:r w:rsidR="008F46B9" w:rsidRPr="00B7292A">
        <w:rPr>
          <w:sz w:val="26"/>
          <w:szCs w:val="26"/>
        </w:rPr>
        <w:t xml:space="preserve">2806.1(b)(1)(i)(G).  </w:t>
      </w:r>
      <w:r w:rsidR="00D656F5">
        <w:rPr>
          <w:sz w:val="26"/>
          <w:szCs w:val="26"/>
        </w:rPr>
        <w:t xml:space="preserve"> To this extent, we reject the calculations in the Plans and direct </w:t>
      </w:r>
      <w:r w:rsidR="00F81DFF">
        <w:rPr>
          <w:sz w:val="26"/>
          <w:szCs w:val="26"/>
        </w:rPr>
        <w:t>FirstEnerg</w:t>
      </w:r>
      <w:r w:rsidR="007E00E1">
        <w:rPr>
          <w:sz w:val="26"/>
          <w:szCs w:val="26"/>
        </w:rPr>
        <w:t>y to file revised Plans in accordance with this finding</w:t>
      </w:r>
      <w:r w:rsidR="00FF7C0E">
        <w:rPr>
          <w:sz w:val="26"/>
          <w:szCs w:val="26"/>
        </w:rPr>
        <w:t xml:space="preserve"> within sixty (60) days of entry of this </w:t>
      </w:r>
      <w:r w:rsidR="003A5D24">
        <w:rPr>
          <w:sz w:val="26"/>
          <w:szCs w:val="26"/>
        </w:rPr>
        <w:t>Opinion and Order</w:t>
      </w:r>
      <w:r w:rsidR="00F81DFF">
        <w:rPr>
          <w:sz w:val="26"/>
          <w:szCs w:val="26"/>
        </w:rPr>
        <w:t>.</w:t>
      </w:r>
      <w:r w:rsidR="00FF7C0E">
        <w:rPr>
          <w:sz w:val="26"/>
          <w:szCs w:val="26"/>
        </w:rPr>
        <w:t xml:space="preserve"> </w:t>
      </w:r>
      <w:r w:rsidR="00BB0053">
        <w:rPr>
          <w:sz w:val="26"/>
          <w:szCs w:val="26"/>
        </w:rPr>
        <w:t xml:space="preserve"> </w:t>
      </w:r>
    </w:p>
    <w:p w:rsidR="008F46B9" w:rsidRDefault="008F46B9" w:rsidP="0029321C">
      <w:pPr>
        <w:spacing w:line="360" w:lineRule="auto"/>
        <w:ind w:firstLine="1440"/>
        <w:rPr>
          <w:sz w:val="26"/>
          <w:szCs w:val="26"/>
        </w:rPr>
      </w:pPr>
    </w:p>
    <w:p w:rsidR="0029321C" w:rsidRDefault="00B6382E" w:rsidP="009D6100">
      <w:pPr>
        <w:pStyle w:val="Heading3"/>
        <w:spacing w:line="240" w:lineRule="auto"/>
        <w:ind w:left="2160" w:hanging="720"/>
      </w:pPr>
      <w:bookmarkStart w:id="58" w:name="_Toc242516242"/>
      <w:bookmarkStart w:id="59" w:name="_Toc244499298"/>
      <w:r>
        <w:t xml:space="preserve">6.  </w:t>
      </w:r>
      <w:r w:rsidR="006F4B78">
        <w:tab/>
      </w:r>
      <w:r w:rsidR="0029321C" w:rsidRPr="00FF0956">
        <w:t>Issues Relating to Individual Conservation and Demand Reduction Programs</w:t>
      </w:r>
      <w:bookmarkEnd w:id="58"/>
      <w:bookmarkEnd w:id="59"/>
    </w:p>
    <w:p w:rsidR="009D6100" w:rsidRPr="009D6100" w:rsidRDefault="009D6100" w:rsidP="009D6100"/>
    <w:p w:rsidR="009D6100" w:rsidRPr="009D6100" w:rsidRDefault="009D6100" w:rsidP="009D6100"/>
    <w:p w:rsidR="009D6100" w:rsidRPr="009530CF" w:rsidRDefault="009D6100" w:rsidP="009D6100">
      <w:pPr>
        <w:spacing w:line="360" w:lineRule="auto"/>
        <w:ind w:firstLine="1440"/>
        <w:rPr>
          <w:sz w:val="26"/>
          <w:szCs w:val="26"/>
        </w:rPr>
      </w:pPr>
      <w:r w:rsidRPr="009530CF">
        <w:rPr>
          <w:sz w:val="26"/>
          <w:szCs w:val="26"/>
        </w:rPr>
        <w:t xml:space="preserve">In the course of this proceeding, several </w:t>
      </w:r>
      <w:r w:rsidR="005843D4">
        <w:rPr>
          <w:sz w:val="26"/>
          <w:szCs w:val="26"/>
        </w:rPr>
        <w:t>P</w:t>
      </w:r>
      <w:r w:rsidR="00F35BAB">
        <w:rPr>
          <w:sz w:val="26"/>
          <w:szCs w:val="26"/>
        </w:rPr>
        <w:t xml:space="preserve">arties raised </w:t>
      </w:r>
      <w:r w:rsidRPr="009530CF">
        <w:rPr>
          <w:sz w:val="26"/>
          <w:szCs w:val="26"/>
        </w:rPr>
        <w:t xml:space="preserve">issues concerning the specifics of certain programs contained in the Plan.  </w:t>
      </w:r>
      <w:r w:rsidR="00260FC9">
        <w:rPr>
          <w:sz w:val="26"/>
          <w:szCs w:val="26"/>
        </w:rPr>
        <w:t>A</w:t>
      </w:r>
      <w:r w:rsidRPr="009530CF">
        <w:rPr>
          <w:sz w:val="26"/>
          <w:szCs w:val="26"/>
        </w:rPr>
        <w:t>lthough all issues have been considered, we will address only those which may have a significant and meaningful impact on the design and effectiveness of a particular program or its components.</w:t>
      </w:r>
      <w:r w:rsidR="00F01526">
        <w:rPr>
          <w:sz w:val="26"/>
          <w:szCs w:val="26"/>
        </w:rPr>
        <w:t xml:space="preserve">  </w:t>
      </w:r>
      <w:r w:rsidR="0070705E">
        <w:rPr>
          <w:sz w:val="26"/>
          <w:szCs w:val="26"/>
        </w:rPr>
        <w:t xml:space="preserve">We begin by discussing specific issues (if any) raised by the </w:t>
      </w:r>
      <w:r w:rsidR="000212DB">
        <w:rPr>
          <w:sz w:val="26"/>
          <w:szCs w:val="26"/>
        </w:rPr>
        <w:t>Parties</w:t>
      </w:r>
      <w:r w:rsidR="0070705E">
        <w:rPr>
          <w:sz w:val="26"/>
          <w:szCs w:val="26"/>
        </w:rPr>
        <w:t xml:space="preserve"> concerning programs targeted toward residential, commercial and industrial customers.  We then discuss generic issues </w:t>
      </w:r>
      <w:r w:rsidR="00501D74">
        <w:rPr>
          <w:sz w:val="26"/>
          <w:szCs w:val="26"/>
        </w:rPr>
        <w:t>that affect multiple programs proposed by FirstEnergy, regardless of customer class</w:t>
      </w:r>
      <w:r w:rsidR="00635844">
        <w:rPr>
          <w:sz w:val="26"/>
          <w:szCs w:val="26"/>
        </w:rPr>
        <w:t xml:space="preserve">.  </w:t>
      </w:r>
    </w:p>
    <w:p w:rsidR="009D6100" w:rsidRDefault="009D6100" w:rsidP="005B1144">
      <w:pPr>
        <w:spacing w:line="360" w:lineRule="auto"/>
        <w:ind w:firstLine="2160"/>
        <w:rPr>
          <w:sz w:val="26"/>
          <w:szCs w:val="26"/>
        </w:rPr>
      </w:pPr>
    </w:p>
    <w:p w:rsidR="0029321C" w:rsidRPr="00352094" w:rsidRDefault="00B6382E" w:rsidP="00940B59">
      <w:pPr>
        <w:pStyle w:val="Heading4"/>
      </w:pPr>
      <w:bookmarkStart w:id="60" w:name="_Toc242516243"/>
      <w:bookmarkStart w:id="61" w:name="_Toc244499299"/>
      <w:r>
        <w:t xml:space="preserve">a.  </w:t>
      </w:r>
      <w:r w:rsidR="006F4B78">
        <w:tab/>
      </w:r>
      <w:r w:rsidR="005B1144" w:rsidRPr="00352094">
        <w:t>Residential</w:t>
      </w:r>
      <w:bookmarkEnd w:id="60"/>
      <w:bookmarkEnd w:id="61"/>
    </w:p>
    <w:p w:rsidR="005B1144" w:rsidRDefault="005B1144" w:rsidP="005B1144">
      <w:pPr>
        <w:spacing w:line="360" w:lineRule="auto"/>
        <w:ind w:firstLine="2160"/>
        <w:rPr>
          <w:sz w:val="26"/>
          <w:szCs w:val="26"/>
        </w:rPr>
      </w:pPr>
    </w:p>
    <w:p w:rsidR="004177CF" w:rsidRDefault="00E0735A" w:rsidP="005B1144">
      <w:pPr>
        <w:spacing w:line="360" w:lineRule="auto"/>
        <w:ind w:firstLine="2160"/>
        <w:rPr>
          <w:sz w:val="26"/>
          <w:szCs w:val="26"/>
        </w:rPr>
      </w:pPr>
      <w:r>
        <w:rPr>
          <w:sz w:val="26"/>
          <w:szCs w:val="26"/>
        </w:rPr>
        <w:t xml:space="preserve">The Parties raised no issues specific to FirstEnergy’s residential programs which are not addressed elsewhere in this </w:t>
      </w:r>
      <w:r w:rsidR="003A5D24">
        <w:rPr>
          <w:sz w:val="26"/>
          <w:szCs w:val="26"/>
        </w:rPr>
        <w:t>Opinion and Order</w:t>
      </w:r>
      <w:r>
        <w:rPr>
          <w:sz w:val="26"/>
          <w:szCs w:val="26"/>
        </w:rPr>
        <w:t>.</w:t>
      </w:r>
      <w:r w:rsidR="00635844">
        <w:rPr>
          <w:sz w:val="26"/>
          <w:szCs w:val="26"/>
        </w:rPr>
        <w:t xml:space="preserve">  </w:t>
      </w:r>
    </w:p>
    <w:p w:rsidR="00E0735A" w:rsidRDefault="00E0735A" w:rsidP="005B1144">
      <w:pPr>
        <w:spacing w:line="360" w:lineRule="auto"/>
        <w:ind w:firstLine="2160"/>
        <w:rPr>
          <w:sz w:val="26"/>
          <w:szCs w:val="26"/>
        </w:rPr>
      </w:pPr>
    </w:p>
    <w:p w:rsidR="005B1144" w:rsidRPr="00352094" w:rsidRDefault="00B6382E" w:rsidP="00940B59">
      <w:pPr>
        <w:pStyle w:val="Heading4"/>
      </w:pPr>
      <w:bookmarkStart w:id="62" w:name="_Toc242516244"/>
      <w:bookmarkStart w:id="63" w:name="_Toc244499300"/>
      <w:r>
        <w:t xml:space="preserve">b.  </w:t>
      </w:r>
      <w:r w:rsidR="006F4B78">
        <w:tab/>
      </w:r>
      <w:r w:rsidR="005B1144" w:rsidRPr="00352094">
        <w:t>Commercial</w:t>
      </w:r>
      <w:bookmarkEnd w:id="62"/>
      <w:bookmarkEnd w:id="63"/>
    </w:p>
    <w:p w:rsidR="005B1144" w:rsidRDefault="005B1144" w:rsidP="005B1144">
      <w:pPr>
        <w:spacing w:line="360" w:lineRule="auto"/>
        <w:ind w:firstLine="2160"/>
        <w:rPr>
          <w:sz w:val="26"/>
          <w:szCs w:val="26"/>
        </w:rPr>
      </w:pPr>
    </w:p>
    <w:p w:rsidR="00EC415F" w:rsidRDefault="00EC415F" w:rsidP="00EC415F">
      <w:pPr>
        <w:spacing w:line="360" w:lineRule="auto"/>
        <w:ind w:firstLine="2160"/>
        <w:rPr>
          <w:sz w:val="26"/>
          <w:szCs w:val="26"/>
        </w:rPr>
      </w:pPr>
      <w:r>
        <w:rPr>
          <w:sz w:val="26"/>
          <w:szCs w:val="26"/>
        </w:rPr>
        <w:t xml:space="preserve">The Parties raised no issues specific to FirstEnergy’s commercial programs which are not addressed elsewhere in this </w:t>
      </w:r>
      <w:r w:rsidR="003A5D24">
        <w:rPr>
          <w:sz w:val="26"/>
          <w:szCs w:val="26"/>
        </w:rPr>
        <w:t>Opinion and Order</w:t>
      </w:r>
      <w:r>
        <w:rPr>
          <w:sz w:val="26"/>
          <w:szCs w:val="26"/>
        </w:rPr>
        <w:t>.</w:t>
      </w:r>
      <w:r w:rsidR="00635844">
        <w:rPr>
          <w:sz w:val="26"/>
          <w:szCs w:val="26"/>
        </w:rPr>
        <w:t xml:space="preserve">  </w:t>
      </w:r>
    </w:p>
    <w:p w:rsidR="004177CF" w:rsidRDefault="004177CF" w:rsidP="005B1144">
      <w:pPr>
        <w:spacing w:line="360" w:lineRule="auto"/>
        <w:ind w:firstLine="2160"/>
        <w:rPr>
          <w:sz w:val="26"/>
          <w:szCs w:val="26"/>
        </w:rPr>
      </w:pPr>
    </w:p>
    <w:p w:rsidR="004F5552" w:rsidRDefault="004F5552">
      <w:pPr>
        <w:spacing w:after="200" w:line="276" w:lineRule="auto"/>
        <w:rPr>
          <w:rFonts w:eastAsiaTheme="majorEastAsia" w:cstheme="majorBidi"/>
          <w:b/>
          <w:bCs/>
          <w:iCs/>
          <w:sz w:val="26"/>
        </w:rPr>
      </w:pPr>
      <w:bookmarkStart w:id="64" w:name="_Toc242516245"/>
      <w:r>
        <w:br w:type="page"/>
      </w:r>
    </w:p>
    <w:p w:rsidR="005B1144" w:rsidRPr="00352094" w:rsidRDefault="00B6382E" w:rsidP="00940B59">
      <w:pPr>
        <w:pStyle w:val="Heading4"/>
      </w:pPr>
      <w:bookmarkStart w:id="65" w:name="_Toc244499301"/>
      <w:r>
        <w:lastRenderedPageBreak/>
        <w:t xml:space="preserve">c.  </w:t>
      </w:r>
      <w:r w:rsidR="006F4B78">
        <w:tab/>
      </w:r>
      <w:r w:rsidR="005B1144" w:rsidRPr="00352094">
        <w:t>Industrial</w:t>
      </w:r>
      <w:bookmarkEnd w:id="64"/>
      <w:bookmarkEnd w:id="65"/>
    </w:p>
    <w:p w:rsidR="005B1144" w:rsidRDefault="005B1144" w:rsidP="0029321C">
      <w:pPr>
        <w:spacing w:line="360" w:lineRule="auto"/>
        <w:ind w:firstLine="1440"/>
        <w:rPr>
          <w:sz w:val="26"/>
          <w:szCs w:val="26"/>
        </w:rPr>
      </w:pPr>
    </w:p>
    <w:p w:rsidR="0087687F" w:rsidRDefault="0087687F" w:rsidP="0087687F">
      <w:pPr>
        <w:spacing w:line="360" w:lineRule="auto"/>
        <w:ind w:firstLine="2160"/>
        <w:rPr>
          <w:sz w:val="26"/>
          <w:szCs w:val="26"/>
        </w:rPr>
      </w:pPr>
      <w:r>
        <w:rPr>
          <w:sz w:val="26"/>
          <w:szCs w:val="26"/>
        </w:rPr>
        <w:t xml:space="preserve">The Parties raised no issues specific to FirstEnergy’s </w:t>
      </w:r>
      <w:r w:rsidR="00915D0D">
        <w:rPr>
          <w:sz w:val="26"/>
          <w:szCs w:val="26"/>
        </w:rPr>
        <w:t>industr</w:t>
      </w:r>
      <w:r>
        <w:rPr>
          <w:sz w:val="26"/>
          <w:szCs w:val="26"/>
        </w:rPr>
        <w:t xml:space="preserve">ial programs which are not addressed elsewhere in this </w:t>
      </w:r>
      <w:r w:rsidR="003A5D24">
        <w:rPr>
          <w:sz w:val="26"/>
          <w:szCs w:val="26"/>
        </w:rPr>
        <w:t>Opinion and Order</w:t>
      </w:r>
      <w:r>
        <w:rPr>
          <w:sz w:val="26"/>
          <w:szCs w:val="26"/>
        </w:rPr>
        <w:t>.</w:t>
      </w:r>
      <w:r w:rsidR="00635844">
        <w:rPr>
          <w:sz w:val="26"/>
          <w:szCs w:val="26"/>
        </w:rPr>
        <w:t xml:space="preserve">  </w:t>
      </w:r>
    </w:p>
    <w:p w:rsidR="000B6DA3" w:rsidRDefault="000B6DA3" w:rsidP="0029321C">
      <w:pPr>
        <w:spacing w:line="360" w:lineRule="auto"/>
        <w:ind w:firstLine="1440"/>
        <w:rPr>
          <w:sz w:val="26"/>
          <w:szCs w:val="26"/>
        </w:rPr>
      </w:pPr>
    </w:p>
    <w:p w:rsidR="00AF0BC6" w:rsidRPr="00352094" w:rsidRDefault="00AF0BC6" w:rsidP="00AF0BC6">
      <w:pPr>
        <w:pStyle w:val="Heading4"/>
      </w:pPr>
      <w:bookmarkStart w:id="66" w:name="_Toc242516246"/>
      <w:bookmarkStart w:id="67" w:name="_Toc244499302"/>
      <w:r>
        <w:t>d.</w:t>
      </w:r>
      <w:r>
        <w:tab/>
        <w:t>Generic Issues</w:t>
      </w:r>
      <w:bookmarkEnd w:id="66"/>
      <w:bookmarkEnd w:id="67"/>
    </w:p>
    <w:p w:rsidR="00AF0BC6" w:rsidRDefault="00AF0BC6" w:rsidP="00AF0BC6">
      <w:pPr>
        <w:spacing w:line="360" w:lineRule="auto"/>
        <w:ind w:firstLine="2160"/>
        <w:rPr>
          <w:sz w:val="26"/>
          <w:szCs w:val="26"/>
        </w:rPr>
      </w:pPr>
    </w:p>
    <w:p w:rsidR="00AF0BC6" w:rsidRDefault="00AF0BC6" w:rsidP="006075B0">
      <w:pPr>
        <w:pStyle w:val="Heading5"/>
      </w:pPr>
      <w:bookmarkStart w:id="68" w:name="_Toc242516247"/>
      <w:bookmarkStart w:id="69" w:name="_Toc244499303"/>
      <w:r>
        <w:t xml:space="preserve">(1)  </w:t>
      </w:r>
      <w:r>
        <w:tab/>
        <w:t xml:space="preserve">Fuel </w:t>
      </w:r>
      <w:r w:rsidRPr="006075B0">
        <w:t>Switching</w:t>
      </w:r>
      <w:bookmarkEnd w:id="68"/>
      <w:bookmarkEnd w:id="69"/>
    </w:p>
    <w:p w:rsidR="006075B0" w:rsidRDefault="006075B0" w:rsidP="00E8480D">
      <w:pPr>
        <w:spacing w:line="360" w:lineRule="auto"/>
      </w:pPr>
    </w:p>
    <w:p w:rsidR="0053196D" w:rsidRDefault="006075B0" w:rsidP="008E4C54">
      <w:pPr>
        <w:pStyle w:val="Heading6"/>
      </w:pPr>
      <w:bookmarkStart w:id="70" w:name="_Toc242516248"/>
      <w:bookmarkStart w:id="71" w:name="_Toc244499304"/>
      <w:r w:rsidRPr="006075B0">
        <w:t>(A)</w:t>
      </w:r>
      <w:r w:rsidRPr="006075B0">
        <w:tab/>
      </w:r>
      <w:r w:rsidRPr="008E4C54">
        <w:t>Positions</w:t>
      </w:r>
      <w:r w:rsidRPr="006075B0">
        <w:t xml:space="preserve"> of the Partie</w:t>
      </w:r>
      <w:r>
        <w:t>s</w:t>
      </w:r>
      <w:bookmarkEnd w:id="70"/>
      <w:bookmarkEnd w:id="71"/>
    </w:p>
    <w:p w:rsidR="0053196D" w:rsidRDefault="0053196D" w:rsidP="00AF0BC6">
      <w:pPr>
        <w:spacing w:line="360" w:lineRule="auto"/>
        <w:ind w:firstLine="2880"/>
        <w:rPr>
          <w:sz w:val="26"/>
          <w:szCs w:val="26"/>
        </w:rPr>
      </w:pPr>
    </w:p>
    <w:p w:rsidR="00540830" w:rsidRDefault="00540830" w:rsidP="00E77F97">
      <w:pPr>
        <w:spacing w:line="360" w:lineRule="auto"/>
        <w:ind w:firstLine="1440"/>
        <w:rPr>
          <w:rStyle w:val="LineNumber"/>
          <w:sz w:val="26"/>
          <w:szCs w:val="26"/>
        </w:rPr>
      </w:pPr>
      <w:r w:rsidRPr="009530CF">
        <w:rPr>
          <w:rStyle w:val="LineNumber"/>
          <w:sz w:val="26"/>
          <w:szCs w:val="26"/>
        </w:rPr>
        <w:t>The NGDCs</w:t>
      </w:r>
      <w:r w:rsidR="008D1FD4">
        <w:rPr>
          <w:rStyle w:val="LineNumber"/>
          <w:sz w:val="26"/>
          <w:szCs w:val="26"/>
        </w:rPr>
        <w:t xml:space="preserve"> and IOGA argue</w:t>
      </w:r>
      <w:r w:rsidRPr="009530CF">
        <w:rPr>
          <w:rStyle w:val="LineNumber"/>
          <w:sz w:val="26"/>
          <w:szCs w:val="26"/>
        </w:rPr>
        <w:t xml:space="preserve"> that </w:t>
      </w:r>
      <w:r w:rsidR="008D1FD4">
        <w:rPr>
          <w:rStyle w:val="LineNumber"/>
          <w:sz w:val="26"/>
          <w:szCs w:val="26"/>
        </w:rPr>
        <w:t>the Plans</w:t>
      </w:r>
      <w:r w:rsidRPr="009530CF">
        <w:rPr>
          <w:rStyle w:val="LineNumber"/>
          <w:sz w:val="26"/>
          <w:szCs w:val="26"/>
        </w:rPr>
        <w:t xml:space="preserve"> do not consider fuel switching implications appropriately in light of the goals of Act 129.  NGDC </w:t>
      </w:r>
      <w:r w:rsidR="008D1FD4">
        <w:rPr>
          <w:rStyle w:val="LineNumber"/>
          <w:sz w:val="26"/>
          <w:szCs w:val="26"/>
        </w:rPr>
        <w:t>MB</w:t>
      </w:r>
      <w:r w:rsidRPr="009530CF">
        <w:rPr>
          <w:rStyle w:val="LineNumber"/>
          <w:sz w:val="26"/>
          <w:szCs w:val="26"/>
        </w:rPr>
        <w:t xml:space="preserve"> at 11</w:t>
      </w:r>
      <w:r w:rsidR="008D1FD4">
        <w:rPr>
          <w:rStyle w:val="LineNumber"/>
          <w:sz w:val="26"/>
          <w:szCs w:val="26"/>
        </w:rPr>
        <w:t xml:space="preserve">; IOGA RB at </w:t>
      </w:r>
      <w:r w:rsidR="00E77F97">
        <w:rPr>
          <w:rStyle w:val="LineNumber"/>
          <w:sz w:val="26"/>
          <w:szCs w:val="26"/>
        </w:rPr>
        <w:t>4-10</w:t>
      </w:r>
      <w:r w:rsidRPr="009530CF">
        <w:rPr>
          <w:rStyle w:val="LineNumber"/>
          <w:i/>
          <w:sz w:val="26"/>
          <w:szCs w:val="26"/>
        </w:rPr>
        <w:t>.</w:t>
      </w:r>
      <w:r w:rsidRPr="009530CF">
        <w:rPr>
          <w:rStyle w:val="LineNumber"/>
          <w:sz w:val="26"/>
          <w:szCs w:val="26"/>
        </w:rPr>
        <w:t xml:space="preserve">  The NGDCs submit that t</w:t>
      </w:r>
      <w:r w:rsidR="008D1FD4">
        <w:rPr>
          <w:rStyle w:val="LineNumber"/>
          <w:sz w:val="26"/>
          <w:szCs w:val="26"/>
        </w:rPr>
        <w:t>he P</w:t>
      </w:r>
      <w:r w:rsidRPr="009530CF">
        <w:rPr>
          <w:rStyle w:val="LineNumber"/>
          <w:sz w:val="26"/>
          <w:szCs w:val="26"/>
        </w:rPr>
        <w:t>lans are structured so as to permit the payment of incentives for efficient electric equipment even if the customer is currently utilizing natural gas</w:t>
      </w:r>
      <w:r w:rsidR="008D1FD4">
        <w:rPr>
          <w:rStyle w:val="LineNumber"/>
          <w:sz w:val="26"/>
          <w:szCs w:val="26"/>
        </w:rPr>
        <w:t>.</w:t>
      </w:r>
      <w:r w:rsidRPr="009530CF">
        <w:rPr>
          <w:rStyle w:val="LineNumber"/>
          <w:sz w:val="26"/>
          <w:szCs w:val="26"/>
        </w:rPr>
        <w:t xml:space="preserve"> </w:t>
      </w:r>
      <w:r w:rsidR="008D1FD4">
        <w:rPr>
          <w:rStyle w:val="LineNumber"/>
          <w:sz w:val="26"/>
          <w:szCs w:val="26"/>
        </w:rPr>
        <w:t xml:space="preserve"> FirstEnergy’s</w:t>
      </w:r>
      <w:r w:rsidRPr="009530CF">
        <w:rPr>
          <w:rStyle w:val="LineNumber"/>
          <w:sz w:val="26"/>
          <w:szCs w:val="26"/>
        </w:rPr>
        <w:t xml:space="preserve"> Exh</w:t>
      </w:r>
      <w:r w:rsidR="008D1FD4">
        <w:rPr>
          <w:rStyle w:val="LineNumber"/>
          <w:sz w:val="26"/>
          <w:szCs w:val="26"/>
        </w:rPr>
        <w:t>.</w:t>
      </w:r>
      <w:r w:rsidRPr="009530CF">
        <w:rPr>
          <w:rStyle w:val="LineNumber"/>
          <w:sz w:val="26"/>
          <w:szCs w:val="26"/>
        </w:rPr>
        <w:t xml:space="preserve"> No. 1, NGDC Cross Exam</w:t>
      </w:r>
      <w:r w:rsidR="00487870">
        <w:rPr>
          <w:rStyle w:val="LineNumber"/>
          <w:sz w:val="26"/>
          <w:szCs w:val="26"/>
        </w:rPr>
        <w:t xml:space="preserve">. </w:t>
      </w:r>
      <w:r w:rsidRPr="009530CF">
        <w:rPr>
          <w:rStyle w:val="LineNumber"/>
          <w:sz w:val="26"/>
          <w:szCs w:val="26"/>
        </w:rPr>
        <w:t>Exh</w:t>
      </w:r>
      <w:r w:rsidR="00487870">
        <w:rPr>
          <w:rStyle w:val="LineNumber"/>
          <w:sz w:val="26"/>
          <w:szCs w:val="26"/>
        </w:rPr>
        <w:t xml:space="preserve">. No.1; Tr. at 215.  </w:t>
      </w:r>
      <w:r w:rsidR="000939BC">
        <w:rPr>
          <w:rStyle w:val="LineNumber"/>
          <w:sz w:val="26"/>
          <w:szCs w:val="26"/>
        </w:rPr>
        <w:t>T</w:t>
      </w:r>
      <w:r w:rsidR="00487870">
        <w:rPr>
          <w:rStyle w:val="LineNumber"/>
          <w:sz w:val="26"/>
          <w:szCs w:val="26"/>
        </w:rPr>
        <w:t xml:space="preserve">he NGDCs </w:t>
      </w:r>
      <w:r w:rsidR="000939BC">
        <w:rPr>
          <w:rStyle w:val="LineNumber"/>
          <w:sz w:val="26"/>
          <w:szCs w:val="26"/>
        </w:rPr>
        <w:t xml:space="preserve">repeatedly argue that the Plans </w:t>
      </w:r>
      <w:r w:rsidR="00414EA5">
        <w:rPr>
          <w:rStyle w:val="LineNumber"/>
          <w:sz w:val="26"/>
          <w:szCs w:val="26"/>
        </w:rPr>
        <w:t xml:space="preserve">inappropriately </w:t>
      </w:r>
      <w:r w:rsidR="000939BC">
        <w:rPr>
          <w:rStyle w:val="LineNumber"/>
          <w:sz w:val="26"/>
          <w:szCs w:val="26"/>
        </w:rPr>
        <w:t>encourage fuel</w:t>
      </w:r>
      <w:r w:rsidRPr="009530CF">
        <w:rPr>
          <w:rStyle w:val="LineNumber"/>
          <w:sz w:val="26"/>
          <w:szCs w:val="26"/>
        </w:rPr>
        <w:t xml:space="preserve"> </w:t>
      </w:r>
      <w:r w:rsidR="00487870">
        <w:rPr>
          <w:rStyle w:val="LineNumber"/>
          <w:sz w:val="26"/>
          <w:szCs w:val="26"/>
        </w:rPr>
        <w:t xml:space="preserve">switching from </w:t>
      </w:r>
      <w:r w:rsidR="000939BC">
        <w:rPr>
          <w:rStyle w:val="LineNumber"/>
          <w:sz w:val="26"/>
          <w:szCs w:val="26"/>
        </w:rPr>
        <w:t xml:space="preserve">natural </w:t>
      </w:r>
      <w:r w:rsidRPr="009530CF">
        <w:rPr>
          <w:rStyle w:val="LineNumber"/>
          <w:sz w:val="26"/>
          <w:szCs w:val="26"/>
        </w:rPr>
        <w:t xml:space="preserve">gas </w:t>
      </w:r>
      <w:r w:rsidR="00487870">
        <w:rPr>
          <w:rStyle w:val="LineNumber"/>
          <w:sz w:val="26"/>
          <w:szCs w:val="26"/>
        </w:rPr>
        <w:t>to electric</w:t>
      </w:r>
      <w:r w:rsidR="000939BC">
        <w:rPr>
          <w:rStyle w:val="LineNumber"/>
          <w:sz w:val="26"/>
          <w:szCs w:val="26"/>
        </w:rPr>
        <w:t>, but not from electric to natural gas</w:t>
      </w:r>
      <w:r w:rsidR="00635844">
        <w:rPr>
          <w:rStyle w:val="LineNumber"/>
          <w:sz w:val="26"/>
          <w:szCs w:val="26"/>
        </w:rPr>
        <w:t xml:space="preserve">.  </w:t>
      </w:r>
    </w:p>
    <w:p w:rsidR="008D1FD4" w:rsidRPr="009530CF" w:rsidRDefault="008D1FD4" w:rsidP="00E77F97">
      <w:pPr>
        <w:spacing w:line="360" w:lineRule="auto"/>
        <w:ind w:firstLine="1440"/>
        <w:rPr>
          <w:rStyle w:val="LineNumber"/>
          <w:sz w:val="26"/>
          <w:szCs w:val="26"/>
        </w:rPr>
      </w:pPr>
    </w:p>
    <w:p w:rsidR="000939BC" w:rsidRDefault="00540830" w:rsidP="00E77F97">
      <w:pPr>
        <w:spacing w:line="360" w:lineRule="auto"/>
        <w:ind w:firstLine="1440"/>
        <w:rPr>
          <w:rStyle w:val="LineNumber"/>
          <w:sz w:val="26"/>
          <w:szCs w:val="26"/>
        </w:rPr>
      </w:pPr>
      <w:r w:rsidRPr="009530CF">
        <w:rPr>
          <w:rStyle w:val="LineNumber"/>
          <w:sz w:val="26"/>
          <w:szCs w:val="26"/>
        </w:rPr>
        <w:t xml:space="preserve">The NGDCs aver that </w:t>
      </w:r>
      <w:r w:rsidR="000939BC">
        <w:rPr>
          <w:rStyle w:val="LineNumber"/>
          <w:sz w:val="26"/>
          <w:szCs w:val="26"/>
        </w:rPr>
        <w:t>the P</w:t>
      </w:r>
      <w:r w:rsidR="00414EA5">
        <w:rPr>
          <w:rStyle w:val="LineNumber"/>
          <w:sz w:val="26"/>
          <w:szCs w:val="26"/>
        </w:rPr>
        <w:t xml:space="preserve">lans </w:t>
      </w:r>
      <w:r w:rsidRPr="009530CF">
        <w:rPr>
          <w:rStyle w:val="LineNumber"/>
          <w:sz w:val="26"/>
          <w:szCs w:val="26"/>
        </w:rPr>
        <w:t xml:space="preserve">ignore the potential </w:t>
      </w:r>
      <w:r w:rsidR="000939BC">
        <w:rPr>
          <w:rStyle w:val="LineNumber"/>
          <w:sz w:val="26"/>
          <w:szCs w:val="26"/>
        </w:rPr>
        <w:t xml:space="preserve">that </w:t>
      </w:r>
      <w:r w:rsidRPr="009530CF">
        <w:rPr>
          <w:rStyle w:val="LineNumber"/>
          <w:sz w:val="26"/>
          <w:szCs w:val="26"/>
        </w:rPr>
        <w:t>fuel substitution has for helping the Companies reach or exceed their Ac</w:t>
      </w:r>
      <w:r w:rsidR="000939BC">
        <w:rPr>
          <w:rStyle w:val="LineNumber"/>
          <w:sz w:val="26"/>
          <w:szCs w:val="26"/>
        </w:rPr>
        <w:t xml:space="preserve">t 129 reduction goals.  In fact, they contend, by </w:t>
      </w:r>
      <w:r w:rsidRPr="009530CF">
        <w:rPr>
          <w:rStyle w:val="LineNumber"/>
          <w:sz w:val="26"/>
          <w:szCs w:val="26"/>
        </w:rPr>
        <w:t>encouraging fuel switching from natural gas to electric</w:t>
      </w:r>
      <w:r w:rsidR="000939BC">
        <w:rPr>
          <w:rStyle w:val="LineNumber"/>
          <w:sz w:val="26"/>
          <w:szCs w:val="26"/>
        </w:rPr>
        <w:t>, the Plans may</w:t>
      </w:r>
      <w:r w:rsidRPr="009530CF">
        <w:rPr>
          <w:rStyle w:val="LineNumber"/>
          <w:sz w:val="26"/>
          <w:szCs w:val="26"/>
        </w:rPr>
        <w:t xml:space="preserve"> result in an overall </w:t>
      </w:r>
      <w:r w:rsidRPr="009530CF">
        <w:rPr>
          <w:rStyle w:val="LineNumber"/>
          <w:i/>
          <w:sz w:val="26"/>
          <w:szCs w:val="26"/>
        </w:rPr>
        <w:t>increase</w:t>
      </w:r>
      <w:r w:rsidR="000939BC">
        <w:rPr>
          <w:rStyle w:val="LineNumber"/>
          <w:sz w:val="26"/>
          <w:szCs w:val="26"/>
        </w:rPr>
        <w:t xml:space="preserve"> in</w:t>
      </w:r>
      <w:r w:rsidRPr="009530CF">
        <w:rPr>
          <w:rStyle w:val="LineNumber"/>
          <w:sz w:val="26"/>
          <w:szCs w:val="26"/>
        </w:rPr>
        <w:t xml:space="preserve"> el</w:t>
      </w:r>
      <w:r w:rsidR="000939BC">
        <w:rPr>
          <w:rStyle w:val="LineNumber"/>
          <w:sz w:val="26"/>
          <w:szCs w:val="26"/>
        </w:rPr>
        <w:t xml:space="preserve">ectric usage by </w:t>
      </w:r>
      <w:r w:rsidRPr="009530CF">
        <w:rPr>
          <w:rStyle w:val="LineNumber"/>
          <w:sz w:val="26"/>
          <w:szCs w:val="26"/>
        </w:rPr>
        <w:t>customers</w:t>
      </w:r>
      <w:r w:rsidR="000939BC">
        <w:rPr>
          <w:rStyle w:val="LineNumber"/>
          <w:sz w:val="26"/>
          <w:szCs w:val="26"/>
        </w:rPr>
        <w:t>,</w:t>
      </w:r>
      <w:r w:rsidRPr="009530CF">
        <w:rPr>
          <w:rStyle w:val="LineNumber"/>
          <w:sz w:val="26"/>
          <w:szCs w:val="26"/>
        </w:rPr>
        <w:t xml:space="preserve"> contrary to the purpose of Ac</w:t>
      </w:r>
      <w:r w:rsidR="00635844">
        <w:rPr>
          <w:rStyle w:val="LineNumber"/>
          <w:sz w:val="26"/>
          <w:szCs w:val="26"/>
        </w:rPr>
        <w:t>t </w:t>
      </w:r>
      <w:r w:rsidR="000939BC">
        <w:rPr>
          <w:rStyle w:val="LineNumber"/>
          <w:sz w:val="26"/>
          <w:szCs w:val="26"/>
        </w:rPr>
        <w:t xml:space="preserve">129.  </w:t>
      </w:r>
      <w:r w:rsidRPr="009530CF">
        <w:rPr>
          <w:rStyle w:val="LineNumber"/>
          <w:sz w:val="26"/>
          <w:szCs w:val="26"/>
        </w:rPr>
        <w:t>NGDC St.</w:t>
      </w:r>
      <w:r w:rsidR="000939BC">
        <w:rPr>
          <w:rStyle w:val="LineNumber"/>
          <w:sz w:val="26"/>
          <w:szCs w:val="26"/>
        </w:rPr>
        <w:t xml:space="preserve"> 1 at 16-25.</w:t>
      </w:r>
      <w:r w:rsidR="00635844">
        <w:rPr>
          <w:rStyle w:val="LineNumber"/>
          <w:sz w:val="26"/>
          <w:szCs w:val="26"/>
        </w:rPr>
        <w:t xml:space="preserve">  </w:t>
      </w:r>
    </w:p>
    <w:p w:rsidR="00540830" w:rsidRPr="009530CF" w:rsidRDefault="00540830" w:rsidP="00E77F97">
      <w:pPr>
        <w:spacing w:line="360" w:lineRule="auto"/>
        <w:ind w:firstLine="1440"/>
        <w:rPr>
          <w:sz w:val="26"/>
          <w:szCs w:val="26"/>
        </w:rPr>
      </w:pPr>
      <w:r w:rsidRPr="009530CF">
        <w:rPr>
          <w:rStyle w:val="LineNumber"/>
          <w:sz w:val="26"/>
          <w:szCs w:val="26"/>
        </w:rPr>
        <w:t xml:space="preserve"> </w:t>
      </w:r>
      <w:r w:rsidRPr="009530CF">
        <w:rPr>
          <w:sz w:val="26"/>
          <w:szCs w:val="26"/>
        </w:rPr>
        <w:t xml:space="preserve"> </w:t>
      </w:r>
    </w:p>
    <w:p w:rsidR="00540830" w:rsidRPr="009530CF" w:rsidRDefault="00540830" w:rsidP="00E77F97">
      <w:pPr>
        <w:spacing w:line="360" w:lineRule="auto"/>
        <w:ind w:firstLine="1440"/>
        <w:rPr>
          <w:rStyle w:val="LineNumber"/>
          <w:sz w:val="26"/>
          <w:szCs w:val="26"/>
        </w:rPr>
      </w:pPr>
      <w:r w:rsidRPr="009530CF">
        <w:rPr>
          <w:rStyle w:val="LineNumber"/>
          <w:sz w:val="26"/>
          <w:szCs w:val="26"/>
        </w:rPr>
        <w:t>The NGDCs recommend that:</w:t>
      </w:r>
      <w:r w:rsidR="00635844">
        <w:rPr>
          <w:rStyle w:val="LineNumber"/>
          <w:sz w:val="26"/>
          <w:szCs w:val="26"/>
        </w:rPr>
        <w:t xml:space="preserve">  </w:t>
      </w:r>
    </w:p>
    <w:p w:rsidR="00414EA5" w:rsidRDefault="00414EA5" w:rsidP="00540830">
      <w:pPr>
        <w:ind w:left="1440" w:right="1440"/>
        <w:rPr>
          <w:sz w:val="26"/>
          <w:szCs w:val="26"/>
        </w:rPr>
      </w:pPr>
    </w:p>
    <w:p w:rsidR="00540830" w:rsidRPr="009530CF" w:rsidRDefault="00540830" w:rsidP="00540830">
      <w:pPr>
        <w:ind w:left="1440" w:right="1440"/>
        <w:rPr>
          <w:sz w:val="26"/>
          <w:szCs w:val="26"/>
        </w:rPr>
      </w:pPr>
      <w:r w:rsidRPr="009530CF">
        <w:rPr>
          <w:sz w:val="26"/>
          <w:szCs w:val="26"/>
        </w:rPr>
        <w:t>1.</w:t>
      </w:r>
      <w:r w:rsidRPr="009530CF">
        <w:rPr>
          <w:sz w:val="26"/>
          <w:szCs w:val="26"/>
        </w:rPr>
        <w:tab/>
        <w:t xml:space="preserve">The FirstEnergy Companies should offer incentives for energy efficient natural gas space heating and water heating applications under their </w:t>
      </w:r>
      <w:r w:rsidRPr="009530CF">
        <w:rPr>
          <w:rStyle w:val="LineNumber"/>
          <w:sz w:val="26"/>
          <w:szCs w:val="26"/>
        </w:rPr>
        <w:t xml:space="preserve">Residential Rebates for HVAC and </w:t>
      </w:r>
      <w:r w:rsidRPr="009530CF">
        <w:rPr>
          <w:rStyle w:val="LineNumber"/>
          <w:sz w:val="26"/>
          <w:szCs w:val="26"/>
        </w:rPr>
        <w:lastRenderedPageBreak/>
        <w:t>Solar Programs, Residential Energy Efficient Products Programs, and the Non-Residential C/I Equipment Programs (rebates)</w:t>
      </w:r>
      <w:r w:rsidRPr="009530CF">
        <w:rPr>
          <w:sz w:val="26"/>
          <w:szCs w:val="26"/>
        </w:rPr>
        <w:t>.</w:t>
      </w:r>
      <w:r w:rsidR="00635844">
        <w:rPr>
          <w:sz w:val="26"/>
          <w:szCs w:val="26"/>
        </w:rPr>
        <w:t xml:space="preserve">  </w:t>
      </w:r>
    </w:p>
    <w:p w:rsidR="00540830" w:rsidRPr="009530CF" w:rsidRDefault="00540830" w:rsidP="00540830">
      <w:pPr>
        <w:ind w:left="1440" w:right="1440"/>
        <w:rPr>
          <w:sz w:val="26"/>
          <w:szCs w:val="26"/>
        </w:rPr>
      </w:pPr>
    </w:p>
    <w:p w:rsidR="00540830" w:rsidRDefault="00540830" w:rsidP="00540830">
      <w:pPr>
        <w:ind w:left="1440" w:right="1440"/>
        <w:rPr>
          <w:sz w:val="26"/>
          <w:szCs w:val="26"/>
        </w:rPr>
      </w:pPr>
      <w:r w:rsidRPr="009530CF">
        <w:rPr>
          <w:sz w:val="26"/>
          <w:szCs w:val="26"/>
        </w:rPr>
        <w:t>2.</w:t>
      </w:r>
      <w:r w:rsidRPr="009530CF">
        <w:rPr>
          <w:sz w:val="26"/>
          <w:szCs w:val="26"/>
        </w:rPr>
        <w:tab/>
        <w:t>The FirstEnergy Companies should offer incentives for efficient Combined Heat &amp; Power (CHP) applications for larger customers.</w:t>
      </w:r>
      <w:r w:rsidR="00635844">
        <w:rPr>
          <w:sz w:val="26"/>
          <w:szCs w:val="26"/>
        </w:rPr>
        <w:t xml:space="preserve">  </w:t>
      </w:r>
    </w:p>
    <w:p w:rsidR="00414EA5" w:rsidRPr="009530CF" w:rsidRDefault="00414EA5" w:rsidP="00540830">
      <w:pPr>
        <w:ind w:left="1440" w:right="1440"/>
        <w:rPr>
          <w:sz w:val="26"/>
          <w:szCs w:val="26"/>
        </w:rPr>
      </w:pPr>
    </w:p>
    <w:p w:rsidR="00540830" w:rsidRPr="009530CF" w:rsidRDefault="00540830" w:rsidP="00540830">
      <w:pPr>
        <w:ind w:left="1440" w:right="1440"/>
        <w:rPr>
          <w:sz w:val="26"/>
          <w:szCs w:val="26"/>
        </w:rPr>
      </w:pPr>
    </w:p>
    <w:p w:rsidR="00540830" w:rsidRDefault="00AB2F18" w:rsidP="00246419">
      <w:pPr>
        <w:spacing w:line="360" w:lineRule="auto"/>
        <w:jc w:val="both"/>
        <w:rPr>
          <w:sz w:val="26"/>
          <w:szCs w:val="26"/>
        </w:rPr>
      </w:pPr>
      <w:r>
        <w:rPr>
          <w:sz w:val="26"/>
          <w:szCs w:val="26"/>
        </w:rPr>
        <w:t>NGDC St.</w:t>
      </w:r>
      <w:r w:rsidR="00540830" w:rsidRPr="009530CF">
        <w:rPr>
          <w:sz w:val="26"/>
          <w:szCs w:val="26"/>
        </w:rPr>
        <w:t xml:space="preserve"> 1 at 28.</w:t>
      </w:r>
    </w:p>
    <w:p w:rsidR="000939BC" w:rsidRPr="009530CF" w:rsidRDefault="000939BC" w:rsidP="00246419">
      <w:pPr>
        <w:spacing w:line="360" w:lineRule="auto"/>
        <w:jc w:val="both"/>
        <w:rPr>
          <w:sz w:val="26"/>
          <w:szCs w:val="26"/>
        </w:rPr>
      </w:pPr>
    </w:p>
    <w:p w:rsidR="00540830" w:rsidRPr="009530CF" w:rsidRDefault="00D52F37" w:rsidP="00E77F97">
      <w:pPr>
        <w:spacing w:line="360" w:lineRule="auto"/>
        <w:ind w:firstLine="1440"/>
        <w:rPr>
          <w:sz w:val="26"/>
          <w:szCs w:val="26"/>
        </w:rPr>
      </w:pPr>
      <w:r>
        <w:rPr>
          <w:sz w:val="26"/>
          <w:szCs w:val="26"/>
        </w:rPr>
        <w:t>I</w:t>
      </w:r>
      <w:r w:rsidR="00540830" w:rsidRPr="009530CF">
        <w:rPr>
          <w:sz w:val="26"/>
          <w:szCs w:val="26"/>
        </w:rPr>
        <w:t>f these programs are not included in</w:t>
      </w:r>
      <w:r>
        <w:rPr>
          <w:sz w:val="26"/>
          <w:szCs w:val="26"/>
        </w:rPr>
        <w:t xml:space="preserve"> the </w:t>
      </w:r>
      <w:r w:rsidR="00540830" w:rsidRPr="009530CF">
        <w:rPr>
          <w:sz w:val="26"/>
          <w:szCs w:val="26"/>
        </w:rPr>
        <w:t xml:space="preserve">Plans, </w:t>
      </w:r>
      <w:r>
        <w:rPr>
          <w:sz w:val="26"/>
          <w:szCs w:val="26"/>
        </w:rPr>
        <w:t>t</w:t>
      </w:r>
      <w:r w:rsidRPr="009530CF">
        <w:rPr>
          <w:sz w:val="26"/>
          <w:szCs w:val="26"/>
        </w:rPr>
        <w:t xml:space="preserve">he NGDCs request that </w:t>
      </w:r>
      <w:r w:rsidR="00540830" w:rsidRPr="009530CF">
        <w:rPr>
          <w:sz w:val="26"/>
          <w:szCs w:val="26"/>
        </w:rPr>
        <w:t>the Com</w:t>
      </w:r>
      <w:r>
        <w:rPr>
          <w:sz w:val="26"/>
          <w:szCs w:val="26"/>
        </w:rPr>
        <w:t>mission require the Companies to amend their P</w:t>
      </w:r>
      <w:r w:rsidR="00540830" w:rsidRPr="009530CF">
        <w:rPr>
          <w:sz w:val="26"/>
          <w:szCs w:val="26"/>
        </w:rPr>
        <w:t xml:space="preserve">lans to prohibit the payment of incentives where fuel switching </w:t>
      </w:r>
      <w:r w:rsidR="00D82375">
        <w:rPr>
          <w:sz w:val="26"/>
          <w:szCs w:val="26"/>
        </w:rPr>
        <w:t xml:space="preserve">from natural gas to electric </w:t>
      </w:r>
      <w:r w:rsidR="00540830" w:rsidRPr="009530CF">
        <w:rPr>
          <w:sz w:val="26"/>
          <w:szCs w:val="26"/>
        </w:rPr>
        <w:t xml:space="preserve">would result, unless </w:t>
      </w:r>
      <w:r w:rsidR="00D82375">
        <w:rPr>
          <w:sz w:val="26"/>
          <w:szCs w:val="26"/>
        </w:rPr>
        <w:t xml:space="preserve">the Companies provide </w:t>
      </w:r>
      <w:r w:rsidR="00540830" w:rsidRPr="009530CF">
        <w:rPr>
          <w:sz w:val="26"/>
          <w:szCs w:val="26"/>
        </w:rPr>
        <w:t xml:space="preserve">natural gas rebate parity.  NGDC </w:t>
      </w:r>
      <w:r w:rsidR="00095BB7">
        <w:rPr>
          <w:sz w:val="26"/>
          <w:szCs w:val="26"/>
        </w:rPr>
        <w:t>M</w:t>
      </w:r>
      <w:r w:rsidR="00540830" w:rsidRPr="009530CF">
        <w:rPr>
          <w:sz w:val="26"/>
          <w:szCs w:val="26"/>
        </w:rPr>
        <w:t>B at 7</w:t>
      </w:r>
      <w:r w:rsidR="00D82375">
        <w:rPr>
          <w:sz w:val="26"/>
          <w:szCs w:val="26"/>
        </w:rPr>
        <w:t>.</w:t>
      </w:r>
      <w:r w:rsidR="00540830" w:rsidRPr="009530CF">
        <w:rPr>
          <w:sz w:val="26"/>
          <w:szCs w:val="26"/>
        </w:rPr>
        <w:t xml:space="preserve">  The NGDCs also believe that </w:t>
      </w:r>
      <w:r w:rsidR="00876E2C">
        <w:rPr>
          <w:sz w:val="26"/>
          <w:szCs w:val="26"/>
        </w:rPr>
        <w:t xml:space="preserve">the </w:t>
      </w:r>
      <w:r w:rsidR="00540830" w:rsidRPr="009530CF">
        <w:rPr>
          <w:sz w:val="26"/>
          <w:szCs w:val="26"/>
        </w:rPr>
        <w:t>Companies should be directed to report to the Commission</w:t>
      </w:r>
      <w:r w:rsidR="00876E2C">
        <w:rPr>
          <w:sz w:val="26"/>
          <w:szCs w:val="26"/>
        </w:rPr>
        <w:t>,</w:t>
      </w:r>
      <w:r w:rsidR="00540830" w:rsidRPr="009530CF">
        <w:rPr>
          <w:sz w:val="26"/>
          <w:szCs w:val="26"/>
        </w:rPr>
        <w:t xml:space="preserve"> in their quarterly and annual reports</w:t>
      </w:r>
      <w:r w:rsidR="00876E2C">
        <w:rPr>
          <w:sz w:val="26"/>
          <w:szCs w:val="26"/>
        </w:rPr>
        <w:t>,</w:t>
      </w:r>
      <w:r w:rsidR="00540830" w:rsidRPr="009530CF">
        <w:rPr>
          <w:sz w:val="26"/>
          <w:szCs w:val="26"/>
        </w:rPr>
        <w:t xml:space="preserve"> the number of customers that receive an incentive payment for a high efficiency electric appliance</w:t>
      </w:r>
      <w:r w:rsidR="00876E2C">
        <w:rPr>
          <w:sz w:val="26"/>
          <w:szCs w:val="26"/>
        </w:rPr>
        <w:t xml:space="preserve"> </w:t>
      </w:r>
      <w:r w:rsidR="00595A15">
        <w:rPr>
          <w:sz w:val="26"/>
          <w:szCs w:val="26"/>
        </w:rPr>
        <w:t xml:space="preserve">or equipment </w:t>
      </w:r>
      <w:r w:rsidR="00876E2C">
        <w:rPr>
          <w:sz w:val="26"/>
          <w:szCs w:val="26"/>
        </w:rPr>
        <w:t>where</w:t>
      </w:r>
      <w:r w:rsidR="00540830" w:rsidRPr="009530CF">
        <w:rPr>
          <w:sz w:val="26"/>
          <w:szCs w:val="26"/>
        </w:rPr>
        <w:t xml:space="preserve">: </w:t>
      </w:r>
      <w:r w:rsidR="00371380">
        <w:rPr>
          <w:sz w:val="26"/>
          <w:szCs w:val="26"/>
        </w:rPr>
        <w:t>(</w:t>
      </w:r>
      <w:r w:rsidR="00540830" w:rsidRPr="009530CF">
        <w:rPr>
          <w:sz w:val="26"/>
          <w:szCs w:val="26"/>
        </w:rPr>
        <w:t>1) the customer switch</w:t>
      </w:r>
      <w:r w:rsidR="00876E2C">
        <w:rPr>
          <w:sz w:val="26"/>
          <w:szCs w:val="26"/>
        </w:rPr>
        <w:t>ed</w:t>
      </w:r>
      <w:r w:rsidR="00540830" w:rsidRPr="009530CF">
        <w:rPr>
          <w:sz w:val="26"/>
          <w:szCs w:val="26"/>
        </w:rPr>
        <w:t xml:space="preserve"> fro</w:t>
      </w:r>
      <w:r w:rsidR="00876E2C">
        <w:rPr>
          <w:sz w:val="26"/>
          <w:szCs w:val="26"/>
        </w:rPr>
        <w:t>m a natural gas appliance to a</w:t>
      </w:r>
      <w:r w:rsidR="00540830" w:rsidRPr="009530CF">
        <w:rPr>
          <w:sz w:val="26"/>
          <w:szCs w:val="26"/>
        </w:rPr>
        <w:t xml:space="preserve"> high efficiency electric appliance</w:t>
      </w:r>
      <w:r w:rsidR="00595A15">
        <w:rPr>
          <w:sz w:val="26"/>
          <w:szCs w:val="26"/>
        </w:rPr>
        <w:t xml:space="preserve"> or equipment</w:t>
      </w:r>
      <w:r w:rsidR="00540830" w:rsidRPr="009530CF">
        <w:rPr>
          <w:sz w:val="26"/>
          <w:szCs w:val="26"/>
        </w:rPr>
        <w:t xml:space="preserve">; </w:t>
      </w:r>
      <w:r w:rsidR="00371380">
        <w:rPr>
          <w:sz w:val="26"/>
          <w:szCs w:val="26"/>
        </w:rPr>
        <w:t>(</w:t>
      </w:r>
      <w:r w:rsidR="00540830" w:rsidRPr="009530CF">
        <w:rPr>
          <w:sz w:val="26"/>
          <w:szCs w:val="26"/>
        </w:rPr>
        <w:t xml:space="preserve">2) </w:t>
      </w:r>
      <w:r w:rsidR="00876E2C">
        <w:rPr>
          <w:sz w:val="26"/>
          <w:szCs w:val="26"/>
        </w:rPr>
        <w:t xml:space="preserve">the Companies paid a rebate for a </w:t>
      </w:r>
      <w:r w:rsidR="00540830" w:rsidRPr="009530CF">
        <w:rPr>
          <w:sz w:val="26"/>
          <w:szCs w:val="26"/>
        </w:rPr>
        <w:t>new home</w:t>
      </w:r>
      <w:r w:rsidR="00876E2C">
        <w:rPr>
          <w:sz w:val="26"/>
          <w:szCs w:val="26"/>
        </w:rPr>
        <w:t xml:space="preserve"> in which </w:t>
      </w:r>
      <w:r w:rsidR="00540830" w:rsidRPr="009530CF">
        <w:rPr>
          <w:sz w:val="26"/>
          <w:szCs w:val="26"/>
        </w:rPr>
        <w:t xml:space="preserve">electric heating </w:t>
      </w:r>
      <w:r w:rsidR="00876E2C">
        <w:rPr>
          <w:sz w:val="26"/>
          <w:szCs w:val="26"/>
        </w:rPr>
        <w:t xml:space="preserve">was installed although </w:t>
      </w:r>
      <w:r w:rsidR="00540830" w:rsidRPr="009530CF">
        <w:rPr>
          <w:sz w:val="26"/>
          <w:szCs w:val="26"/>
        </w:rPr>
        <w:t xml:space="preserve">natural gas service was </w:t>
      </w:r>
      <w:r w:rsidR="00876E2C">
        <w:rPr>
          <w:sz w:val="26"/>
          <w:szCs w:val="26"/>
        </w:rPr>
        <w:t xml:space="preserve">readily available; and </w:t>
      </w:r>
      <w:r w:rsidR="00371380">
        <w:rPr>
          <w:sz w:val="26"/>
          <w:szCs w:val="26"/>
        </w:rPr>
        <w:t>(</w:t>
      </w:r>
      <w:r w:rsidR="00876E2C">
        <w:rPr>
          <w:sz w:val="26"/>
          <w:szCs w:val="26"/>
        </w:rPr>
        <w:t>3) a customer switched</w:t>
      </w:r>
      <w:r w:rsidR="00540830" w:rsidRPr="009530CF">
        <w:rPr>
          <w:sz w:val="26"/>
          <w:szCs w:val="26"/>
        </w:rPr>
        <w:t xml:space="preserve"> from a lower efficiency electric appliance </w:t>
      </w:r>
      <w:r w:rsidR="00595A15">
        <w:rPr>
          <w:sz w:val="26"/>
          <w:szCs w:val="26"/>
        </w:rPr>
        <w:t xml:space="preserve">or equipment </w:t>
      </w:r>
      <w:r w:rsidR="00540830" w:rsidRPr="009530CF">
        <w:rPr>
          <w:sz w:val="26"/>
          <w:szCs w:val="26"/>
        </w:rPr>
        <w:t>to a high efficiency electric appliance</w:t>
      </w:r>
      <w:r w:rsidR="00595A15">
        <w:rPr>
          <w:sz w:val="26"/>
          <w:szCs w:val="26"/>
        </w:rPr>
        <w:t xml:space="preserve"> or equipment</w:t>
      </w:r>
      <w:r w:rsidR="00540830" w:rsidRPr="009530CF">
        <w:rPr>
          <w:sz w:val="26"/>
          <w:szCs w:val="26"/>
        </w:rPr>
        <w:t xml:space="preserve"> </w:t>
      </w:r>
      <w:r w:rsidR="00876E2C">
        <w:rPr>
          <w:sz w:val="26"/>
          <w:szCs w:val="26"/>
        </w:rPr>
        <w:t xml:space="preserve">although </w:t>
      </w:r>
      <w:r w:rsidR="00095BB7">
        <w:rPr>
          <w:sz w:val="26"/>
          <w:szCs w:val="26"/>
        </w:rPr>
        <w:t>natural gas service wa</w:t>
      </w:r>
      <w:r w:rsidR="00540830" w:rsidRPr="009530CF">
        <w:rPr>
          <w:sz w:val="26"/>
          <w:szCs w:val="26"/>
        </w:rPr>
        <w:t>s available to that customer.</w:t>
      </w:r>
      <w:r w:rsidR="005C0B68">
        <w:rPr>
          <w:sz w:val="26"/>
          <w:szCs w:val="26"/>
        </w:rPr>
        <w:t xml:space="preserve">  </w:t>
      </w:r>
      <w:r w:rsidR="005C0B68" w:rsidRPr="005C0B68">
        <w:rPr>
          <w:i/>
          <w:sz w:val="26"/>
          <w:szCs w:val="26"/>
        </w:rPr>
        <w:t>Id</w:t>
      </w:r>
      <w:r w:rsidR="005C0B68">
        <w:rPr>
          <w:sz w:val="26"/>
          <w:szCs w:val="26"/>
        </w:rPr>
        <w:t>.</w:t>
      </w:r>
      <w:r w:rsidR="00540830" w:rsidRPr="009530CF">
        <w:rPr>
          <w:sz w:val="26"/>
          <w:szCs w:val="26"/>
        </w:rPr>
        <w:t xml:space="preserve">  </w:t>
      </w:r>
    </w:p>
    <w:p w:rsidR="00540830" w:rsidRPr="009530CF" w:rsidRDefault="00540830" w:rsidP="00E77F97">
      <w:pPr>
        <w:spacing w:line="360" w:lineRule="auto"/>
        <w:ind w:firstLine="720"/>
        <w:jc w:val="both"/>
        <w:rPr>
          <w:sz w:val="26"/>
          <w:szCs w:val="26"/>
        </w:rPr>
      </w:pPr>
    </w:p>
    <w:p w:rsidR="00540830" w:rsidRDefault="00246631" w:rsidP="00E77F97">
      <w:pPr>
        <w:spacing w:line="360" w:lineRule="auto"/>
        <w:ind w:firstLine="1440"/>
        <w:rPr>
          <w:bCs/>
          <w:sz w:val="26"/>
          <w:szCs w:val="26"/>
        </w:rPr>
      </w:pPr>
      <w:r>
        <w:rPr>
          <w:sz w:val="26"/>
          <w:szCs w:val="26"/>
        </w:rPr>
        <w:t xml:space="preserve">The </w:t>
      </w:r>
      <w:r w:rsidR="00540830" w:rsidRPr="009530CF">
        <w:rPr>
          <w:sz w:val="26"/>
          <w:szCs w:val="26"/>
        </w:rPr>
        <w:t>DEP state</w:t>
      </w:r>
      <w:r w:rsidR="00A3527D">
        <w:rPr>
          <w:sz w:val="26"/>
          <w:szCs w:val="26"/>
        </w:rPr>
        <w:t>s</w:t>
      </w:r>
      <w:r w:rsidR="00540830" w:rsidRPr="009530CF">
        <w:rPr>
          <w:sz w:val="26"/>
          <w:szCs w:val="26"/>
        </w:rPr>
        <w:t xml:space="preserve"> that </w:t>
      </w:r>
      <w:r w:rsidR="00A85786">
        <w:rPr>
          <w:sz w:val="26"/>
          <w:szCs w:val="26"/>
        </w:rPr>
        <w:t xml:space="preserve">the </w:t>
      </w:r>
      <w:r w:rsidR="00540830" w:rsidRPr="009530CF">
        <w:rPr>
          <w:bCs/>
          <w:sz w:val="26"/>
          <w:szCs w:val="26"/>
        </w:rPr>
        <w:t>Plan</w:t>
      </w:r>
      <w:r w:rsidR="00A3527D">
        <w:rPr>
          <w:bCs/>
          <w:sz w:val="26"/>
          <w:szCs w:val="26"/>
        </w:rPr>
        <w:t xml:space="preserve">s </w:t>
      </w:r>
      <w:r w:rsidR="00A3527D" w:rsidRPr="009530CF">
        <w:rPr>
          <w:sz w:val="26"/>
          <w:szCs w:val="26"/>
        </w:rPr>
        <w:t>(in particular the residential heat pump</w:t>
      </w:r>
      <w:r w:rsidR="00A3527D">
        <w:rPr>
          <w:sz w:val="26"/>
          <w:szCs w:val="26"/>
        </w:rPr>
        <w:t xml:space="preserve"> rebate, the residential and commercial/industrial</w:t>
      </w:r>
      <w:r w:rsidR="00A3527D" w:rsidRPr="009530CF">
        <w:rPr>
          <w:sz w:val="26"/>
          <w:szCs w:val="26"/>
        </w:rPr>
        <w:t xml:space="preserve"> water heater rebates</w:t>
      </w:r>
      <w:r w:rsidR="00A3527D">
        <w:rPr>
          <w:sz w:val="26"/>
          <w:szCs w:val="26"/>
        </w:rPr>
        <w:t>,</w:t>
      </w:r>
      <w:r w:rsidR="00A3527D" w:rsidRPr="009530CF">
        <w:rPr>
          <w:sz w:val="26"/>
          <w:szCs w:val="26"/>
        </w:rPr>
        <w:t xml:space="preserve"> and potentially, the residential whole home program)</w:t>
      </w:r>
      <w:r w:rsidR="00A3527D">
        <w:rPr>
          <w:sz w:val="26"/>
          <w:szCs w:val="26"/>
        </w:rPr>
        <w:t xml:space="preserve"> </w:t>
      </w:r>
      <w:r w:rsidR="00A3527D">
        <w:rPr>
          <w:bCs/>
          <w:sz w:val="26"/>
          <w:szCs w:val="26"/>
        </w:rPr>
        <w:t>have</w:t>
      </w:r>
      <w:r w:rsidR="00540830" w:rsidRPr="009530CF">
        <w:rPr>
          <w:bCs/>
          <w:sz w:val="26"/>
          <w:szCs w:val="26"/>
        </w:rPr>
        <w:t xml:space="preserve"> the potential to unintentionally promote fuel switching from a combustion appliance to an electric appliance</w:t>
      </w:r>
      <w:r w:rsidR="00595A15">
        <w:rPr>
          <w:bCs/>
          <w:sz w:val="26"/>
          <w:szCs w:val="26"/>
        </w:rPr>
        <w:t xml:space="preserve"> or equipment</w:t>
      </w:r>
      <w:r w:rsidR="00540830" w:rsidRPr="009530CF">
        <w:rPr>
          <w:sz w:val="26"/>
          <w:szCs w:val="26"/>
        </w:rPr>
        <w:t>.</w:t>
      </w:r>
      <w:r w:rsidR="00A85786">
        <w:rPr>
          <w:bCs/>
          <w:sz w:val="26"/>
          <w:szCs w:val="26"/>
        </w:rPr>
        <w:t xml:space="preserve">  </w:t>
      </w:r>
      <w:r>
        <w:rPr>
          <w:bCs/>
          <w:sz w:val="26"/>
          <w:szCs w:val="26"/>
        </w:rPr>
        <w:t xml:space="preserve">The </w:t>
      </w:r>
      <w:r w:rsidR="00A85786">
        <w:rPr>
          <w:bCs/>
          <w:sz w:val="26"/>
          <w:szCs w:val="26"/>
        </w:rPr>
        <w:t>DEP</w:t>
      </w:r>
      <w:r w:rsidR="00540830" w:rsidRPr="009530CF">
        <w:rPr>
          <w:bCs/>
          <w:sz w:val="26"/>
          <w:szCs w:val="26"/>
        </w:rPr>
        <w:t xml:space="preserve"> submits that su</w:t>
      </w:r>
      <w:r w:rsidR="00A3527D">
        <w:rPr>
          <w:bCs/>
          <w:sz w:val="26"/>
          <w:szCs w:val="26"/>
        </w:rPr>
        <w:t xml:space="preserve">ch a result </w:t>
      </w:r>
      <w:r w:rsidR="00540830" w:rsidRPr="009530CF">
        <w:rPr>
          <w:bCs/>
          <w:sz w:val="26"/>
          <w:szCs w:val="26"/>
        </w:rPr>
        <w:t xml:space="preserve">controverts the purpose of Act 129 and must be prohibited.  </w:t>
      </w:r>
      <w:r>
        <w:rPr>
          <w:bCs/>
          <w:sz w:val="26"/>
          <w:szCs w:val="26"/>
        </w:rPr>
        <w:t xml:space="preserve">The </w:t>
      </w:r>
      <w:r w:rsidR="00540830" w:rsidRPr="009530CF">
        <w:rPr>
          <w:bCs/>
          <w:sz w:val="26"/>
          <w:szCs w:val="26"/>
        </w:rPr>
        <w:t xml:space="preserve">DEP </w:t>
      </w:r>
      <w:r w:rsidR="00A3527D">
        <w:rPr>
          <w:bCs/>
          <w:sz w:val="26"/>
          <w:szCs w:val="26"/>
        </w:rPr>
        <w:t xml:space="preserve">recommends </w:t>
      </w:r>
      <w:r w:rsidR="00540830" w:rsidRPr="009530CF">
        <w:rPr>
          <w:bCs/>
          <w:sz w:val="26"/>
          <w:szCs w:val="26"/>
        </w:rPr>
        <w:t>that customers be required to apply for these rebates and identify the type of fuel source currently being used</w:t>
      </w:r>
      <w:r w:rsidR="00A3527D">
        <w:rPr>
          <w:bCs/>
          <w:sz w:val="26"/>
          <w:szCs w:val="26"/>
        </w:rPr>
        <w:t>.  O</w:t>
      </w:r>
      <w:r w:rsidR="00540830" w:rsidRPr="009530CF">
        <w:rPr>
          <w:bCs/>
          <w:sz w:val="26"/>
          <w:szCs w:val="26"/>
        </w:rPr>
        <w:t xml:space="preserve">nly customers who currently use electric appliances </w:t>
      </w:r>
      <w:r w:rsidR="00595A15">
        <w:rPr>
          <w:bCs/>
          <w:sz w:val="26"/>
          <w:szCs w:val="26"/>
        </w:rPr>
        <w:t xml:space="preserve">or equipment </w:t>
      </w:r>
      <w:r w:rsidR="00540830" w:rsidRPr="009530CF">
        <w:rPr>
          <w:bCs/>
          <w:sz w:val="26"/>
          <w:szCs w:val="26"/>
        </w:rPr>
        <w:t>should qualify</w:t>
      </w:r>
      <w:r w:rsidR="00A3527D">
        <w:rPr>
          <w:bCs/>
          <w:sz w:val="26"/>
          <w:szCs w:val="26"/>
        </w:rPr>
        <w:t xml:space="preserve"> for the rebates</w:t>
      </w:r>
      <w:r w:rsidR="00540830" w:rsidRPr="009530CF">
        <w:rPr>
          <w:bCs/>
          <w:sz w:val="26"/>
          <w:szCs w:val="26"/>
        </w:rPr>
        <w:t xml:space="preserve">.  DEP </w:t>
      </w:r>
      <w:r w:rsidR="00A3527D">
        <w:rPr>
          <w:bCs/>
          <w:sz w:val="26"/>
          <w:szCs w:val="26"/>
        </w:rPr>
        <w:t>MB at 7-8</w:t>
      </w:r>
      <w:r w:rsidR="00540830" w:rsidRPr="009530CF">
        <w:rPr>
          <w:bCs/>
          <w:sz w:val="26"/>
          <w:szCs w:val="26"/>
        </w:rPr>
        <w:t>.</w:t>
      </w:r>
    </w:p>
    <w:p w:rsidR="0053196D" w:rsidRPr="009530CF" w:rsidRDefault="0053196D" w:rsidP="00E77F97">
      <w:pPr>
        <w:spacing w:line="360" w:lineRule="auto"/>
        <w:ind w:firstLine="1440"/>
        <w:rPr>
          <w:bCs/>
          <w:sz w:val="26"/>
          <w:szCs w:val="26"/>
        </w:rPr>
      </w:pPr>
    </w:p>
    <w:p w:rsidR="00540830" w:rsidRPr="009530CF" w:rsidRDefault="00540830" w:rsidP="00E77F97">
      <w:pPr>
        <w:spacing w:line="360" w:lineRule="auto"/>
        <w:ind w:firstLine="1350"/>
        <w:rPr>
          <w:sz w:val="26"/>
          <w:szCs w:val="26"/>
        </w:rPr>
      </w:pPr>
      <w:r w:rsidRPr="009530CF">
        <w:rPr>
          <w:sz w:val="26"/>
          <w:szCs w:val="26"/>
        </w:rPr>
        <w:t>The Companie</w:t>
      </w:r>
      <w:r w:rsidR="0053196D">
        <w:rPr>
          <w:sz w:val="26"/>
          <w:szCs w:val="26"/>
        </w:rPr>
        <w:t>s oppose these proposals.  The C</w:t>
      </w:r>
      <w:r w:rsidRPr="009530CF">
        <w:rPr>
          <w:sz w:val="26"/>
          <w:szCs w:val="26"/>
        </w:rPr>
        <w:t>ompanies state that the NGDC</w:t>
      </w:r>
      <w:r w:rsidR="0053196D">
        <w:rPr>
          <w:sz w:val="26"/>
          <w:szCs w:val="26"/>
        </w:rPr>
        <w:t>s</w:t>
      </w:r>
      <w:r w:rsidRPr="009530CF">
        <w:rPr>
          <w:sz w:val="26"/>
          <w:szCs w:val="26"/>
        </w:rPr>
        <w:t xml:space="preserve"> have not alleged, or provided any evidence to demonstrate, that the Companies will be unable to meet their required reductions in energy consumption and peak demand without the inclusion of fuel switching programs.  FirstEnergy </w:t>
      </w:r>
      <w:r w:rsidR="0053196D">
        <w:rPr>
          <w:sz w:val="26"/>
          <w:szCs w:val="26"/>
        </w:rPr>
        <w:t>MB</w:t>
      </w:r>
      <w:r w:rsidRPr="009530CF">
        <w:rPr>
          <w:sz w:val="26"/>
          <w:szCs w:val="26"/>
        </w:rPr>
        <w:t xml:space="preserve"> at 54.  The Companies submit that the Commission’s express exclusion of fuel switching</w:t>
      </w:r>
      <w:r w:rsidR="00F86882">
        <w:rPr>
          <w:sz w:val="26"/>
          <w:szCs w:val="26"/>
        </w:rPr>
        <w:t xml:space="preserve"> from the TRM</w:t>
      </w:r>
      <w:r w:rsidR="002D3FFC">
        <w:rPr>
          <w:sz w:val="26"/>
          <w:szCs w:val="26"/>
        </w:rPr>
        <w:t>,</w:t>
      </w:r>
      <w:r w:rsidR="00F86882">
        <w:rPr>
          <w:sz w:val="26"/>
          <w:szCs w:val="26"/>
        </w:rPr>
        <w:t xml:space="preserve"> </w:t>
      </w:r>
      <w:r w:rsidR="00F86882">
        <w:rPr>
          <w:i/>
          <w:sz w:val="26"/>
          <w:szCs w:val="26"/>
        </w:rPr>
        <w:t xml:space="preserve">TRM Order </w:t>
      </w:r>
      <w:r w:rsidR="00F86882" w:rsidRPr="0040204C">
        <w:rPr>
          <w:sz w:val="26"/>
          <w:szCs w:val="26"/>
        </w:rPr>
        <w:t>at 9,</w:t>
      </w:r>
      <w:r w:rsidR="00515C2E">
        <w:rPr>
          <w:sz w:val="26"/>
          <w:szCs w:val="26"/>
        </w:rPr>
        <w:t xml:space="preserve"> </w:t>
      </w:r>
      <w:r w:rsidRPr="009530CF">
        <w:rPr>
          <w:sz w:val="26"/>
          <w:szCs w:val="26"/>
        </w:rPr>
        <w:t xml:space="preserve">and </w:t>
      </w:r>
      <w:r w:rsidR="002D3FFC">
        <w:rPr>
          <w:sz w:val="26"/>
          <w:szCs w:val="26"/>
        </w:rPr>
        <w:t xml:space="preserve">its </w:t>
      </w:r>
      <w:r w:rsidRPr="009530CF">
        <w:rPr>
          <w:sz w:val="26"/>
          <w:szCs w:val="26"/>
        </w:rPr>
        <w:t>postponement of discussion of such matters until a future fuel switching working group is convened</w:t>
      </w:r>
      <w:r w:rsidR="00F86882">
        <w:rPr>
          <w:sz w:val="26"/>
          <w:szCs w:val="26"/>
        </w:rPr>
        <w:t xml:space="preserve"> </w:t>
      </w:r>
      <w:r w:rsidRPr="009530CF">
        <w:rPr>
          <w:sz w:val="26"/>
          <w:szCs w:val="26"/>
        </w:rPr>
        <w:t>should preclude the NGDCs from proposing suc</w:t>
      </w:r>
      <w:r w:rsidR="00F86882">
        <w:rPr>
          <w:sz w:val="26"/>
          <w:szCs w:val="26"/>
        </w:rPr>
        <w:t xml:space="preserve">h issues in connection with EE&amp;C </w:t>
      </w:r>
      <w:r w:rsidR="00F61411">
        <w:rPr>
          <w:sz w:val="26"/>
          <w:szCs w:val="26"/>
        </w:rPr>
        <w:t>p</w:t>
      </w:r>
      <w:r w:rsidR="00F86882">
        <w:rPr>
          <w:sz w:val="26"/>
          <w:szCs w:val="26"/>
        </w:rPr>
        <w:t>lans</w:t>
      </w:r>
      <w:r w:rsidRPr="009530CF">
        <w:rPr>
          <w:sz w:val="26"/>
          <w:szCs w:val="26"/>
        </w:rPr>
        <w:t>, particularly in proceedings such as this where the Companies have not proposed any fuel</w:t>
      </w:r>
      <w:r w:rsidR="00511030">
        <w:rPr>
          <w:sz w:val="26"/>
          <w:szCs w:val="26"/>
        </w:rPr>
        <w:t xml:space="preserve"> switching programs in their</w:t>
      </w:r>
      <w:r w:rsidR="00515C2E">
        <w:rPr>
          <w:sz w:val="26"/>
          <w:szCs w:val="26"/>
        </w:rPr>
        <w:t xml:space="preserve"> </w:t>
      </w:r>
      <w:r w:rsidRPr="009530CF">
        <w:rPr>
          <w:sz w:val="26"/>
          <w:szCs w:val="26"/>
        </w:rPr>
        <w:t xml:space="preserve">Plans.  FirstEnergy </w:t>
      </w:r>
      <w:r w:rsidR="00515C2E">
        <w:rPr>
          <w:sz w:val="26"/>
          <w:szCs w:val="26"/>
        </w:rPr>
        <w:t>M</w:t>
      </w:r>
      <w:r w:rsidRPr="009530CF">
        <w:rPr>
          <w:sz w:val="26"/>
          <w:szCs w:val="26"/>
        </w:rPr>
        <w:t xml:space="preserve">B at 55.  </w:t>
      </w:r>
    </w:p>
    <w:p w:rsidR="002D3C42" w:rsidRDefault="002D3C42" w:rsidP="00E77F97">
      <w:pPr>
        <w:spacing w:line="360" w:lineRule="auto"/>
        <w:rPr>
          <w:sz w:val="26"/>
          <w:szCs w:val="26"/>
        </w:rPr>
      </w:pPr>
    </w:p>
    <w:p w:rsidR="002D3C42" w:rsidRDefault="006075B0" w:rsidP="008E4C54">
      <w:pPr>
        <w:pStyle w:val="Heading6"/>
      </w:pPr>
      <w:bookmarkStart w:id="72" w:name="_Toc242516249"/>
      <w:bookmarkStart w:id="73" w:name="_Toc244499305"/>
      <w:r>
        <w:t>(B)</w:t>
      </w:r>
      <w:r w:rsidR="002D3C42">
        <w:t xml:space="preserve">      Disposition</w:t>
      </w:r>
      <w:bookmarkEnd w:id="72"/>
      <w:bookmarkEnd w:id="73"/>
    </w:p>
    <w:p w:rsidR="002D3C42" w:rsidRDefault="002D3C42" w:rsidP="008E4C54">
      <w:pPr>
        <w:pStyle w:val="Heading6"/>
      </w:pPr>
    </w:p>
    <w:p w:rsidR="00763213" w:rsidRDefault="00763213" w:rsidP="00763213">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9530CF">
        <w:rPr>
          <w:szCs w:val="26"/>
        </w:rPr>
        <w:tab/>
      </w:r>
      <w:r w:rsidRPr="009530CF">
        <w:rPr>
          <w:szCs w:val="26"/>
        </w:rPr>
        <w:tab/>
      </w:r>
      <w:r w:rsidRPr="009530CF">
        <w:rPr>
          <w:szCs w:val="26"/>
        </w:rPr>
        <w:tab/>
        <w:t>The NGDCs</w:t>
      </w:r>
      <w:r w:rsidRPr="009530CF">
        <w:rPr>
          <w:sz w:val="26"/>
          <w:szCs w:val="26"/>
        </w:rPr>
        <w:t xml:space="preserve"> and IOGA have urged us to require EDCs to utilize switching from </w:t>
      </w:r>
      <w:r w:rsidR="00511030">
        <w:rPr>
          <w:sz w:val="26"/>
          <w:szCs w:val="26"/>
        </w:rPr>
        <w:t xml:space="preserve">the </w:t>
      </w:r>
      <w:r w:rsidRPr="009530CF">
        <w:rPr>
          <w:sz w:val="26"/>
          <w:szCs w:val="26"/>
        </w:rPr>
        <w:t xml:space="preserve">use of electric power to natural gas as an energy efficiency or demand reduction </w:t>
      </w:r>
      <w:r w:rsidR="00020EE2">
        <w:rPr>
          <w:sz w:val="26"/>
          <w:szCs w:val="26"/>
        </w:rPr>
        <w:t xml:space="preserve">measure. </w:t>
      </w:r>
      <w:r w:rsidR="00485B01">
        <w:rPr>
          <w:sz w:val="26"/>
          <w:szCs w:val="26"/>
        </w:rPr>
        <w:t xml:space="preserve"> We note that s</w:t>
      </w:r>
      <w:r w:rsidR="00485B01" w:rsidRPr="009530CF">
        <w:rPr>
          <w:sz w:val="26"/>
          <w:szCs w:val="26"/>
        </w:rPr>
        <w:t xml:space="preserve">ome EDCs have included such measures as part of their </w:t>
      </w:r>
      <w:r w:rsidR="00485B01">
        <w:rPr>
          <w:sz w:val="26"/>
          <w:szCs w:val="26"/>
        </w:rPr>
        <w:t xml:space="preserve">EE&amp;C </w:t>
      </w:r>
      <w:r w:rsidR="00485B01" w:rsidRPr="009530CF">
        <w:rPr>
          <w:sz w:val="26"/>
          <w:szCs w:val="26"/>
        </w:rPr>
        <w:t>plans.</w:t>
      </w:r>
      <w:r w:rsidR="00485B01">
        <w:rPr>
          <w:sz w:val="26"/>
          <w:szCs w:val="26"/>
        </w:rPr>
        <w:t xml:space="preserve"> </w:t>
      </w:r>
      <w:r w:rsidR="00020EE2">
        <w:rPr>
          <w:sz w:val="26"/>
          <w:szCs w:val="26"/>
        </w:rPr>
        <w:t xml:space="preserve"> </w:t>
      </w:r>
      <w:r w:rsidR="00E477DD">
        <w:rPr>
          <w:i/>
          <w:sz w:val="26"/>
          <w:szCs w:val="26"/>
        </w:rPr>
        <w:t>See, e.g</w:t>
      </w:r>
      <w:r w:rsidR="00E477DD" w:rsidRPr="00E477DD">
        <w:rPr>
          <w:i/>
          <w:sz w:val="26"/>
          <w:szCs w:val="26"/>
        </w:rPr>
        <w:t>., Petition of PECO Energy Company for Approval of its Act 129 Energy Efficiency and Conservation Plan and Expedited Approval of its Compact Fluorescent Lamp Program,</w:t>
      </w:r>
      <w:r w:rsidR="00E477DD">
        <w:rPr>
          <w:sz w:val="26"/>
          <w:szCs w:val="26"/>
        </w:rPr>
        <w:t xml:space="preserve"> Docket No. M-2009-2093215.</w:t>
      </w:r>
      <w:r w:rsidR="00485B01">
        <w:rPr>
          <w:sz w:val="26"/>
          <w:szCs w:val="26"/>
        </w:rPr>
        <w:t xml:space="preserve">  </w:t>
      </w:r>
      <w:r w:rsidRPr="009530CF">
        <w:rPr>
          <w:sz w:val="26"/>
          <w:szCs w:val="26"/>
        </w:rPr>
        <w:t xml:space="preserve">The NGDCs argue that this is contemplated by Act 129 and should be part of EDC plans.  We have addressed this issue before, as discussed below, but </w:t>
      </w:r>
      <w:r w:rsidR="00371380">
        <w:rPr>
          <w:sz w:val="26"/>
          <w:szCs w:val="26"/>
        </w:rPr>
        <w:t xml:space="preserve">we </w:t>
      </w:r>
      <w:r w:rsidRPr="009530CF">
        <w:rPr>
          <w:sz w:val="26"/>
          <w:szCs w:val="26"/>
        </w:rPr>
        <w:t>believe a look at Act 129 is in order.</w:t>
      </w:r>
    </w:p>
    <w:p w:rsidR="00E477DD" w:rsidRDefault="00E477DD" w:rsidP="00763213">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763213" w:rsidRDefault="00763213" w:rsidP="00763213">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9530CF">
        <w:rPr>
          <w:sz w:val="26"/>
          <w:szCs w:val="26"/>
        </w:rPr>
        <w:tab/>
      </w:r>
      <w:r w:rsidRPr="009530CF">
        <w:rPr>
          <w:sz w:val="26"/>
          <w:szCs w:val="26"/>
        </w:rPr>
        <w:tab/>
      </w:r>
      <w:r w:rsidRPr="009530CF">
        <w:rPr>
          <w:sz w:val="26"/>
          <w:szCs w:val="26"/>
        </w:rPr>
        <w:tab/>
        <w:t>Act 129 does not expressly address switching between electric power and natural gas, however, it does defin</w:t>
      </w:r>
      <w:r w:rsidR="00E108BB">
        <w:rPr>
          <w:sz w:val="26"/>
          <w:szCs w:val="26"/>
        </w:rPr>
        <w:t>e</w:t>
      </w:r>
      <w:r w:rsidRPr="009530CF">
        <w:rPr>
          <w:sz w:val="26"/>
          <w:szCs w:val="26"/>
        </w:rPr>
        <w:t xml:space="preserve"> “Energy efficiency and conservation measures”</w:t>
      </w:r>
      <w:r w:rsidR="00E108BB">
        <w:rPr>
          <w:sz w:val="26"/>
          <w:szCs w:val="26"/>
        </w:rPr>
        <w:t xml:space="preserve"> as</w:t>
      </w:r>
      <w:r w:rsidRPr="009530CF">
        <w:rPr>
          <w:sz w:val="26"/>
          <w:szCs w:val="26"/>
        </w:rPr>
        <w:t>:</w:t>
      </w:r>
    </w:p>
    <w:p w:rsidR="00397BC3" w:rsidRDefault="00397BC3" w:rsidP="00397BC3">
      <w:pPr>
        <w:tabs>
          <w:tab w:val="left" w:pos="-1440"/>
          <w:tab w:val="left" w:pos="-720"/>
          <w:tab w:val="left" w:pos="0"/>
          <w:tab w:val="left" w:pos="576"/>
          <w:tab w:val="left" w:pos="1440"/>
          <w:tab w:val="left" w:pos="2086"/>
          <w:tab w:val="left" w:pos="2880"/>
        </w:tabs>
        <w:suppressAutoHyphens/>
        <w:ind w:left="1440" w:right="1440"/>
        <w:rPr>
          <w:sz w:val="26"/>
          <w:szCs w:val="26"/>
        </w:rPr>
      </w:pPr>
    </w:p>
    <w:p w:rsidR="00763213" w:rsidRPr="009530CF" w:rsidRDefault="00E108BB" w:rsidP="00397BC3">
      <w:pPr>
        <w:tabs>
          <w:tab w:val="left" w:pos="-1440"/>
          <w:tab w:val="left" w:pos="-720"/>
          <w:tab w:val="left" w:pos="0"/>
          <w:tab w:val="left" w:pos="576"/>
          <w:tab w:val="left" w:pos="1440"/>
          <w:tab w:val="left" w:pos="2086"/>
          <w:tab w:val="left" w:pos="2880"/>
        </w:tabs>
        <w:suppressAutoHyphens/>
        <w:ind w:left="1440" w:right="1440"/>
        <w:rPr>
          <w:sz w:val="26"/>
          <w:szCs w:val="26"/>
        </w:rPr>
      </w:pPr>
      <w:r>
        <w:rPr>
          <w:sz w:val="26"/>
          <w:szCs w:val="26"/>
        </w:rPr>
        <w:t xml:space="preserve">(1)  </w:t>
      </w:r>
      <w:r w:rsidR="00763213" w:rsidRPr="009530CF">
        <w:rPr>
          <w:sz w:val="26"/>
          <w:szCs w:val="26"/>
        </w:rPr>
        <w:t>Technologies, management practices or other measures employed by retail customers that reduce electricity consumption or demand if all of the following apply:</w:t>
      </w:r>
    </w:p>
    <w:p w:rsidR="00763213" w:rsidRPr="009530CF" w:rsidRDefault="00763213" w:rsidP="00397BC3">
      <w:pPr>
        <w:tabs>
          <w:tab w:val="left" w:pos="-1440"/>
          <w:tab w:val="left" w:pos="-720"/>
          <w:tab w:val="left" w:pos="0"/>
          <w:tab w:val="left" w:pos="576"/>
          <w:tab w:val="left" w:pos="1440"/>
          <w:tab w:val="left" w:pos="2086"/>
          <w:tab w:val="left" w:pos="2880"/>
        </w:tabs>
        <w:suppressAutoHyphens/>
        <w:ind w:left="1440" w:right="1440"/>
        <w:rPr>
          <w:sz w:val="26"/>
          <w:szCs w:val="26"/>
        </w:rPr>
      </w:pPr>
      <w:r w:rsidRPr="009530CF">
        <w:rPr>
          <w:sz w:val="26"/>
          <w:szCs w:val="26"/>
        </w:rPr>
        <w:t xml:space="preserve"> </w:t>
      </w:r>
    </w:p>
    <w:p w:rsidR="00763213" w:rsidRPr="009530CF" w:rsidRDefault="00763213" w:rsidP="00E108BB">
      <w:pPr>
        <w:tabs>
          <w:tab w:val="left" w:pos="-1440"/>
          <w:tab w:val="left" w:pos="-720"/>
          <w:tab w:val="left" w:pos="0"/>
          <w:tab w:val="left" w:pos="576"/>
          <w:tab w:val="left" w:pos="1440"/>
          <w:tab w:val="left" w:pos="2086"/>
          <w:tab w:val="left" w:pos="2880"/>
        </w:tabs>
        <w:suppressAutoHyphens/>
        <w:ind w:left="1440" w:right="1440" w:firstLine="720"/>
        <w:rPr>
          <w:sz w:val="26"/>
          <w:szCs w:val="26"/>
        </w:rPr>
      </w:pPr>
      <w:r w:rsidRPr="009530CF">
        <w:rPr>
          <w:sz w:val="26"/>
          <w:szCs w:val="26"/>
        </w:rPr>
        <w:lastRenderedPageBreak/>
        <w:t xml:space="preserve">(i) </w:t>
      </w:r>
      <w:r w:rsidR="00E108BB">
        <w:rPr>
          <w:sz w:val="26"/>
          <w:szCs w:val="26"/>
        </w:rPr>
        <w:t xml:space="preserve"> </w:t>
      </w:r>
      <w:r w:rsidRPr="009530CF">
        <w:rPr>
          <w:sz w:val="26"/>
          <w:szCs w:val="26"/>
        </w:rPr>
        <w:t>The technology, practice or other measure is installed on or after the effective date of this section at the location of a retail customer.</w:t>
      </w:r>
    </w:p>
    <w:p w:rsidR="00763213" w:rsidRPr="009530CF" w:rsidRDefault="00763213" w:rsidP="00397BC3">
      <w:pPr>
        <w:tabs>
          <w:tab w:val="left" w:pos="-1440"/>
          <w:tab w:val="left" w:pos="-720"/>
          <w:tab w:val="left" w:pos="0"/>
          <w:tab w:val="left" w:pos="576"/>
          <w:tab w:val="left" w:pos="1440"/>
          <w:tab w:val="left" w:pos="2086"/>
          <w:tab w:val="left" w:pos="2880"/>
        </w:tabs>
        <w:suppressAutoHyphens/>
        <w:ind w:left="1440" w:right="1440"/>
        <w:rPr>
          <w:sz w:val="26"/>
          <w:szCs w:val="26"/>
        </w:rPr>
      </w:pPr>
      <w:r w:rsidRPr="009530CF">
        <w:rPr>
          <w:sz w:val="26"/>
          <w:szCs w:val="26"/>
        </w:rPr>
        <w:t xml:space="preserve"> </w:t>
      </w:r>
    </w:p>
    <w:p w:rsidR="00763213" w:rsidRPr="009530CF" w:rsidRDefault="00763213" w:rsidP="00E108BB">
      <w:pPr>
        <w:tabs>
          <w:tab w:val="left" w:pos="-1440"/>
          <w:tab w:val="left" w:pos="-720"/>
          <w:tab w:val="left" w:pos="0"/>
          <w:tab w:val="left" w:pos="576"/>
          <w:tab w:val="left" w:pos="1440"/>
          <w:tab w:val="left" w:pos="2086"/>
          <w:tab w:val="left" w:pos="2880"/>
        </w:tabs>
        <w:suppressAutoHyphens/>
        <w:ind w:left="1440" w:right="1440" w:firstLine="720"/>
        <w:rPr>
          <w:sz w:val="26"/>
          <w:szCs w:val="26"/>
        </w:rPr>
      </w:pPr>
      <w:r w:rsidRPr="009530CF">
        <w:rPr>
          <w:sz w:val="26"/>
          <w:szCs w:val="26"/>
        </w:rPr>
        <w:t xml:space="preserve">(ii) </w:t>
      </w:r>
      <w:r w:rsidR="00E108BB">
        <w:rPr>
          <w:sz w:val="26"/>
          <w:szCs w:val="26"/>
        </w:rPr>
        <w:t xml:space="preserve"> </w:t>
      </w:r>
      <w:r w:rsidRPr="009530CF">
        <w:rPr>
          <w:sz w:val="26"/>
          <w:szCs w:val="26"/>
        </w:rPr>
        <w:t>The technology, practice or other measure reduces consumption of energy or peak load by the retail customer.</w:t>
      </w:r>
    </w:p>
    <w:p w:rsidR="00763213" w:rsidRPr="009530CF" w:rsidRDefault="00763213" w:rsidP="00397BC3">
      <w:pPr>
        <w:tabs>
          <w:tab w:val="left" w:pos="-1440"/>
          <w:tab w:val="left" w:pos="-720"/>
          <w:tab w:val="left" w:pos="0"/>
          <w:tab w:val="left" w:pos="576"/>
          <w:tab w:val="left" w:pos="1440"/>
          <w:tab w:val="left" w:pos="2086"/>
          <w:tab w:val="left" w:pos="2880"/>
        </w:tabs>
        <w:suppressAutoHyphens/>
        <w:ind w:left="1440" w:right="1440"/>
        <w:rPr>
          <w:sz w:val="26"/>
          <w:szCs w:val="26"/>
        </w:rPr>
      </w:pPr>
      <w:r w:rsidRPr="009530CF">
        <w:rPr>
          <w:sz w:val="26"/>
          <w:szCs w:val="26"/>
        </w:rPr>
        <w:t xml:space="preserve"> </w:t>
      </w:r>
    </w:p>
    <w:p w:rsidR="00763213" w:rsidRPr="009530CF" w:rsidRDefault="00763213" w:rsidP="00E108BB">
      <w:pPr>
        <w:tabs>
          <w:tab w:val="left" w:pos="-1440"/>
          <w:tab w:val="left" w:pos="-720"/>
          <w:tab w:val="left" w:pos="0"/>
          <w:tab w:val="left" w:pos="576"/>
          <w:tab w:val="left" w:pos="1440"/>
          <w:tab w:val="left" w:pos="2086"/>
          <w:tab w:val="left" w:pos="2880"/>
        </w:tabs>
        <w:suppressAutoHyphens/>
        <w:ind w:left="1440" w:right="1440" w:firstLine="720"/>
        <w:rPr>
          <w:sz w:val="26"/>
          <w:szCs w:val="26"/>
        </w:rPr>
      </w:pPr>
      <w:r w:rsidRPr="009530CF">
        <w:rPr>
          <w:sz w:val="26"/>
          <w:szCs w:val="26"/>
        </w:rPr>
        <w:t xml:space="preserve">(iii) </w:t>
      </w:r>
      <w:r w:rsidR="00E108BB">
        <w:rPr>
          <w:sz w:val="26"/>
          <w:szCs w:val="26"/>
        </w:rPr>
        <w:t xml:space="preserve"> </w:t>
      </w:r>
      <w:r w:rsidRPr="009530CF">
        <w:rPr>
          <w:sz w:val="26"/>
          <w:szCs w:val="26"/>
        </w:rPr>
        <w:t>The cost of the acquisition or installation of the measure is directly incurred in whole or in part by the electric distribution company.</w:t>
      </w:r>
    </w:p>
    <w:p w:rsidR="00763213" w:rsidRPr="009530CF" w:rsidRDefault="00763213" w:rsidP="00397BC3">
      <w:pPr>
        <w:tabs>
          <w:tab w:val="left" w:pos="-1440"/>
          <w:tab w:val="left" w:pos="-720"/>
          <w:tab w:val="left" w:pos="0"/>
          <w:tab w:val="left" w:pos="576"/>
          <w:tab w:val="left" w:pos="1440"/>
          <w:tab w:val="left" w:pos="2086"/>
          <w:tab w:val="left" w:pos="2880"/>
        </w:tabs>
        <w:suppressAutoHyphens/>
        <w:ind w:left="1440" w:right="1440"/>
        <w:rPr>
          <w:sz w:val="26"/>
          <w:szCs w:val="26"/>
        </w:rPr>
      </w:pPr>
      <w:r w:rsidRPr="009530CF">
        <w:rPr>
          <w:sz w:val="26"/>
          <w:szCs w:val="26"/>
        </w:rPr>
        <w:t xml:space="preserve"> </w:t>
      </w:r>
    </w:p>
    <w:p w:rsidR="00763213" w:rsidRPr="009530CF" w:rsidRDefault="00763213" w:rsidP="00397BC3">
      <w:pPr>
        <w:tabs>
          <w:tab w:val="left" w:pos="-1440"/>
          <w:tab w:val="left" w:pos="-720"/>
          <w:tab w:val="left" w:pos="0"/>
          <w:tab w:val="left" w:pos="576"/>
          <w:tab w:val="left" w:pos="1440"/>
          <w:tab w:val="left" w:pos="2086"/>
          <w:tab w:val="left" w:pos="2880"/>
        </w:tabs>
        <w:suppressAutoHyphens/>
        <w:ind w:left="1440" w:right="1440"/>
        <w:rPr>
          <w:sz w:val="26"/>
          <w:szCs w:val="26"/>
        </w:rPr>
      </w:pPr>
      <w:r w:rsidRPr="009530CF">
        <w:rPr>
          <w:sz w:val="26"/>
          <w:szCs w:val="26"/>
        </w:rPr>
        <w:t xml:space="preserve">(2) </w:t>
      </w:r>
      <w:r w:rsidR="00E108BB">
        <w:rPr>
          <w:sz w:val="26"/>
          <w:szCs w:val="26"/>
        </w:rPr>
        <w:t xml:space="preserve"> </w:t>
      </w:r>
      <w:r w:rsidRPr="009530CF">
        <w:rPr>
          <w:sz w:val="26"/>
          <w:szCs w:val="26"/>
        </w:rPr>
        <w:t>Energy efficiency and conservation measures shall include solar or solar photovoltaic panels, energy efficient windows and doors, energy efficient lighting, including exit sign retrofit, high bay fluorescent retrofit and pedestrian and traffic signal conversion, geothermal heating, insulation, air sealing, reflective roof coatings, energy efficient heating and cooling equipment or systems and energy efficient appliances and other technologies, practices or measures approved by the commission.</w:t>
      </w:r>
    </w:p>
    <w:p w:rsidR="00763213" w:rsidRPr="009530CF" w:rsidRDefault="00763213" w:rsidP="00763213">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721752" w:rsidRDefault="00763213" w:rsidP="00763213">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9530CF">
        <w:rPr>
          <w:sz w:val="26"/>
          <w:szCs w:val="26"/>
        </w:rPr>
        <w:t xml:space="preserve"> 66 Pa</w:t>
      </w:r>
      <w:r w:rsidR="00E108BB">
        <w:rPr>
          <w:sz w:val="26"/>
          <w:szCs w:val="26"/>
        </w:rPr>
        <w:t>. C.S. § 2806.1(m)</w:t>
      </w:r>
      <w:r w:rsidRPr="009530CF">
        <w:rPr>
          <w:sz w:val="26"/>
          <w:szCs w:val="26"/>
        </w:rPr>
        <w:t xml:space="preserve">.  Although the definition does not mention natural gas </w:t>
      </w:r>
      <w:r w:rsidRPr="00E108BB">
        <w:rPr>
          <w:i/>
          <w:sz w:val="26"/>
          <w:szCs w:val="26"/>
        </w:rPr>
        <w:t>per se</w:t>
      </w:r>
      <w:r w:rsidRPr="009530CF">
        <w:rPr>
          <w:sz w:val="26"/>
          <w:szCs w:val="26"/>
        </w:rPr>
        <w:t xml:space="preserve">, we believe it is reasonable to assume that some uses of gas may be energy efficient. </w:t>
      </w:r>
    </w:p>
    <w:p w:rsidR="00763213" w:rsidRPr="009530CF" w:rsidRDefault="00763213" w:rsidP="00763213">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9530CF">
        <w:rPr>
          <w:sz w:val="26"/>
          <w:szCs w:val="26"/>
        </w:rPr>
        <w:t xml:space="preserve"> </w:t>
      </w:r>
    </w:p>
    <w:p w:rsidR="00763213" w:rsidRPr="009530CF" w:rsidRDefault="00763213" w:rsidP="00763213">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9530CF">
        <w:rPr>
          <w:sz w:val="26"/>
          <w:szCs w:val="26"/>
        </w:rPr>
        <w:tab/>
      </w:r>
      <w:r w:rsidRPr="009530CF">
        <w:rPr>
          <w:sz w:val="26"/>
          <w:szCs w:val="26"/>
        </w:rPr>
        <w:tab/>
      </w:r>
      <w:r w:rsidRPr="009530CF">
        <w:rPr>
          <w:sz w:val="26"/>
          <w:szCs w:val="26"/>
        </w:rPr>
        <w:tab/>
        <w:t xml:space="preserve">We addressed this issue in our </w:t>
      </w:r>
      <w:r w:rsidR="00E108BB">
        <w:rPr>
          <w:i/>
          <w:sz w:val="26"/>
          <w:szCs w:val="26"/>
        </w:rPr>
        <w:t>TRM Order</w:t>
      </w:r>
      <w:r w:rsidR="00821CC0">
        <w:rPr>
          <w:i/>
          <w:sz w:val="26"/>
          <w:szCs w:val="26"/>
        </w:rPr>
        <w:t>,</w:t>
      </w:r>
      <w:r w:rsidR="00E108BB">
        <w:rPr>
          <w:i/>
          <w:sz w:val="26"/>
          <w:szCs w:val="26"/>
        </w:rPr>
        <w:t xml:space="preserve"> </w:t>
      </w:r>
      <w:r w:rsidR="00821CC0">
        <w:rPr>
          <w:sz w:val="26"/>
          <w:szCs w:val="26"/>
        </w:rPr>
        <w:t>wh</w:t>
      </w:r>
      <w:r w:rsidRPr="009530CF">
        <w:rPr>
          <w:sz w:val="26"/>
          <w:szCs w:val="26"/>
        </w:rPr>
        <w:t>e</w:t>
      </w:r>
      <w:r w:rsidR="00821CC0">
        <w:rPr>
          <w:sz w:val="26"/>
          <w:szCs w:val="26"/>
        </w:rPr>
        <w:t>n</w:t>
      </w:r>
      <w:r w:rsidRPr="009530CF">
        <w:rPr>
          <w:sz w:val="26"/>
          <w:szCs w:val="26"/>
        </w:rPr>
        <w:t xml:space="preserve"> we stated</w:t>
      </w:r>
      <w:r w:rsidR="00821CC0">
        <w:rPr>
          <w:sz w:val="26"/>
          <w:szCs w:val="26"/>
        </w:rPr>
        <w:t xml:space="preserve"> at page 9</w:t>
      </w:r>
      <w:r w:rsidRPr="009530CF">
        <w:rPr>
          <w:sz w:val="26"/>
          <w:szCs w:val="26"/>
        </w:rPr>
        <w:t>:</w:t>
      </w:r>
    </w:p>
    <w:p w:rsidR="00E108BB" w:rsidRDefault="00E108BB" w:rsidP="00763213">
      <w:pPr>
        <w:tabs>
          <w:tab w:val="left" w:pos="-1440"/>
          <w:tab w:val="left" w:pos="-720"/>
          <w:tab w:val="left" w:pos="0"/>
          <w:tab w:val="left" w:pos="432"/>
          <w:tab w:val="left" w:pos="576"/>
          <w:tab w:val="left" w:pos="1440"/>
          <w:tab w:val="left" w:pos="2086"/>
          <w:tab w:val="left" w:pos="2880"/>
        </w:tabs>
        <w:suppressAutoHyphens/>
        <w:ind w:left="432"/>
        <w:rPr>
          <w:sz w:val="26"/>
          <w:szCs w:val="26"/>
        </w:rPr>
      </w:pPr>
    </w:p>
    <w:p w:rsidR="00763213" w:rsidRPr="009530CF" w:rsidRDefault="00763213" w:rsidP="00E108BB">
      <w:pPr>
        <w:tabs>
          <w:tab w:val="left" w:pos="-1440"/>
          <w:tab w:val="left" w:pos="-720"/>
          <w:tab w:val="left" w:pos="0"/>
          <w:tab w:val="left" w:pos="576"/>
          <w:tab w:val="left" w:pos="1440"/>
          <w:tab w:val="left" w:pos="2086"/>
          <w:tab w:val="left" w:pos="2880"/>
        </w:tabs>
        <w:suppressAutoHyphens/>
        <w:ind w:left="1440" w:right="1440"/>
        <w:rPr>
          <w:sz w:val="26"/>
          <w:szCs w:val="26"/>
        </w:rPr>
      </w:pPr>
      <w:r w:rsidRPr="009530CF">
        <w:rPr>
          <w:sz w:val="26"/>
          <w:szCs w:val="26"/>
        </w:rPr>
        <w:t xml:space="preserve">The Commission recognizes that fuel switching is a complicated topic that will require additional time and effort to fully address.  As the TRM will provide vital guidance to EDCs in developing their EE&amp;C plans, which are due to be filed by July 1, 2009, there is not enough time to convene a working group to address all the related issues, fuel switching will not be included in this TRM. The Commission will convene a fuel switching working group in the near future to identify, research and address issues related </w:t>
      </w:r>
      <w:r w:rsidR="00424D23">
        <w:rPr>
          <w:sz w:val="26"/>
          <w:szCs w:val="26"/>
        </w:rPr>
        <w:t xml:space="preserve">to </w:t>
      </w:r>
      <w:r w:rsidRPr="009530CF">
        <w:rPr>
          <w:sz w:val="26"/>
          <w:szCs w:val="26"/>
        </w:rPr>
        <w:t>fuel switching.  Depending on the outcome of this working group, fuel switching may be incorporated into a future version of the TRM.</w:t>
      </w:r>
    </w:p>
    <w:p w:rsidR="00763213" w:rsidRPr="009530CF" w:rsidRDefault="00763213" w:rsidP="00763213">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B2082B" w:rsidRPr="009A2258" w:rsidRDefault="00763213" w:rsidP="00B2082B">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B050"/>
          <w:sz w:val="26"/>
          <w:szCs w:val="26"/>
        </w:rPr>
      </w:pPr>
      <w:r w:rsidRPr="009530CF">
        <w:rPr>
          <w:sz w:val="26"/>
          <w:szCs w:val="26"/>
        </w:rPr>
        <w:lastRenderedPageBreak/>
        <w:t xml:space="preserve">We initiated the fuel switching working group at that time and directed that it report back to us with recommendations by June 1, </w:t>
      </w:r>
      <w:r w:rsidRPr="00821CC0">
        <w:rPr>
          <w:sz w:val="26"/>
          <w:szCs w:val="26"/>
        </w:rPr>
        <w:t xml:space="preserve">2010. </w:t>
      </w:r>
      <w:r w:rsidR="00821CC0" w:rsidRPr="00821CC0">
        <w:rPr>
          <w:i/>
          <w:sz w:val="26"/>
          <w:szCs w:val="26"/>
        </w:rPr>
        <w:t>TRM Order</w:t>
      </w:r>
      <w:r w:rsidR="00821CC0" w:rsidRPr="00821CC0">
        <w:rPr>
          <w:sz w:val="26"/>
          <w:szCs w:val="26"/>
        </w:rPr>
        <w:t xml:space="preserve"> at 19</w:t>
      </w:r>
      <w:r w:rsidR="00821CC0">
        <w:rPr>
          <w:sz w:val="26"/>
          <w:szCs w:val="26"/>
        </w:rPr>
        <w:t>.</w:t>
      </w:r>
      <w:r w:rsidRPr="00821CC0">
        <w:rPr>
          <w:sz w:val="26"/>
          <w:szCs w:val="26"/>
        </w:rPr>
        <w:t xml:space="preserve"> </w:t>
      </w:r>
      <w:r w:rsidR="00821CC0">
        <w:rPr>
          <w:sz w:val="26"/>
          <w:szCs w:val="26"/>
        </w:rPr>
        <w:t xml:space="preserve"> </w:t>
      </w:r>
      <w:r w:rsidRPr="00821CC0">
        <w:rPr>
          <w:sz w:val="26"/>
          <w:szCs w:val="26"/>
        </w:rPr>
        <w:t>The fuel</w:t>
      </w:r>
      <w:r w:rsidRPr="009530CF">
        <w:rPr>
          <w:sz w:val="26"/>
          <w:szCs w:val="26"/>
        </w:rPr>
        <w:t xml:space="preserve"> switching working group will need time to develop and make its recommendations.  </w:t>
      </w:r>
      <w:r w:rsidR="00371380">
        <w:rPr>
          <w:sz w:val="26"/>
          <w:szCs w:val="26"/>
        </w:rPr>
        <w:t>Still, we recognize the interest in this issue.  Accordingly</w:t>
      </w:r>
      <w:r w:rsidR="00B2082B">
        <w:rPr>
          <w:sz w:val="26"/>
          <w:szCs w:val="26"/>
        </w:rPr>
        <w:t xml:space="preserve">, to expedite the resolution of this issue, we direct the </w:t>
      </w:r>
      <w:r w:rsidR="00371380">
        <w:rPr>
          <w:sz w:val="26"/>
          <w:szCs w:val="26"/>
        </w:rPr>
        <w:t xml:space="preserve">fuel switching </w:t>
      </w:r>
      <w:r w:rsidR="00B2082B">
        <w:rPr>
          <w:sz w:val="26"/>
          <w:szCs w:val="26"/>
        </w:rPr>
        <w:t>working grou</w:t>
      </w:r>
      <w:r w:rsidR="00635844">
        <w:rPr>
          <w:sz w:val="26"/>
          <w:szCs w:val="26"/>
        </w:rPr>
        <w:t>p to submit its report by March </w:t>
      </w:r>
      <w:r w:rsidR="00B2082B">
        <w:rPr>
          <w:sz w:val="26"/>
          <w:szCs w:val="26"/>
        </w:rPr>
        <w:t xml:space="preserve">31, 2010. </w:t>
      </w:r>
    </w:p>
    <w:p w:rsidR="00A659EF" w:rsidRPr="009530CF" w:rsidRDefault="00A659EF" w:rsidP="00763213">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C4221D" w:rsidRDefault="00DD52B4" w:rsidP="00C4221D">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Moreover, in regard</w:t>
      </w:r>
      <w:r w:rsidR="00763213" w:rsidRPr="009530CF">
        <w:rPr>
          <w:sz w:val="26"/>
          <w:szCs w:val="26"/>
        </w:rPr>
        <w:t xml:space="preserve"> to the NGDCs’ and </w:t>
      </w:r>
      <w:r w:rsidR="00246631">
        <w:rPr>
          <w:sz w:val="26"/>
          <w:szCs w:val="26"/>
        </w:rPr>
        <w:t xml:space="preserve">the </w:t>
      </w:r>
      <w:r w:rsidR="00763213" w:rsidRPr="009530CF">
        <w:rPr>
          <w:sz w:val="26"/>
          <w:szCs w:val="26"/>
        </w:rPr>
        <w:t>DEP’s concerns related to</w:t>
      </w:r>
      <w:r w:rsidR="00763213" w:rsidRPr="009530CF">
        <w:rPr>
          <w:bCs/>
          <w:sz w:val="26"/>
          <w:szCs w:val="26"/>
        </w:rPr>
        <w:t xml:space="preserve"> the potential to unintentionally promote fuel switching from a combustion appliance </w:t>
      </w:r>
      <w:r w:rsidR="00595A15">
        <w:rPr>
          <w:bCs/>
          <w:sz w:val="26"/>
          <w:szCs w:val="26"/>
        </w:rPr>
        <w:t xml:space="preserve">or equipment </w:t>
      </w:r>
      <w:r w:rsidR="00763213" w:rsidRPr="009530CF">
        <w:rPr>
          <w:bCs/>
          <w:sz w:val="26"/>
          <w:szCs w:val="26"/>
        </w:rPr>
        <w:t>to an electric appliance</w:t>
      </w:r>
      <w:r w:rsidR="00595A15">
        <w:rPr>
          <w:bCs/>
          <w:sz w:val="26"/>
          <w:szCs w:val="26"/>
        </w:rPr>
        <w:t xml:space="preserve"> or equipment</w:t>
      </w:r>
      <w:r w:rsidR="00763213" w:rsidRPr="009530CF">
        <w:rPr>
          <w:bCs/>
          <w:sz w:val="26"/>
          <w:szCs w:val="26"/>
        </w:rPr>
        <w:t xml:space="preserve">, we find their arguments to be speculative and unconvincing.  As these plans develop over time, we will review their progress.  </w:t>
      </w:r>
      <w:r>
        <w:rPr>
          <w:bCs/>
          <w:sz w:val="26"/>
          <w:szCs w:val="26"/>
        </w:rPr>
        <w:t>Nevertheless, w</w:t>
      </w:r>
      <w:r w:rsidR="00C4221D">
        <w:rPr>
          <w:bCs/>
          <w:sz w:val="26"/>
          <w:szCs w:val="26"/>
        </w:rPr>
        <w:t xml:space="preserve">e find merit in the NGDCs’ suggestion that relevant data be collected.  We therefore </w:t>
      </w:r>
      <w:r w:rsidR="00C4221D">
        <w:rPr>
          <w:sz w:val="26"/>
          <w:szCs w:val="26"/>
        </w:rPr>
        <w:t xml:space="preserve">direct that FirstEnergy track appropriate data, in coordination with the Statewide Evaluator, </w:t>
      </w:r>
      <w:r>
        <w:rPr>
          <w:sz w:val="26"/>
          <w:szCs w:val="26"/>
        </w:rPr>
        <w:t>including</w:t>
      </w:r>
      <w:r w:rsidR="00C4221D">
        <w:rPr>
          <w:sz w:val="26"/>
          <w:szCs w:val="26"/>
        </w:rPr>
        <w:t xml:space="preserve"> at least the following: (1) type of appliance </w:t>
      </w:r>
      <w:r w:rsidR="00595A15">
        <w:rPr>
          <w:sz w:val="26"/>
          <w:szCs w:val="26"/>
        </w:rPr>
        <w:t xml:space="preserve">or equipment </w:t>
      </w:r>
      <w:r w:rsidR="00C4221D">
        <w:rPr>
          <w:sz w:val="26"/>
          <w:szCs w:val="26"/>
        </w:rPr>
        <w:t>being replaced; (2) the availability of natural gas at the customer’s location or immediate area; and</w:t>
      </w:r>
      <w:r>
        <w:rPr>
          <w:sz w:val="26"/>
          <w:szCs w:val="26"/>
        </w:rPr>
        <w:t xml:space="preserve"> </w:t>
      </w:r>
      <w:r w:rsidR="00C4221D">
        <w:rPr>
          <w:sz w:val="26"/>
          <w:szCs w:val="26"/>
        </w:rPr>
        <w:t xml:space="preserve">(3) whether </w:t>
      </w:r>
      <w:r>
        <w:rPr>
          <w:sz w:val="26"/>
          <w:szCs w:val="26"/>
        </w:rPr>
        <w:t xml:space="preserve">electric appliances </w:t>
      </w:r>
      <w:r w:rsidR="00595A15">
        <w:rPr>
          <w:sz w:val="26"/>
          <w:szCs w:val="26"/>
        </w:rPr>
        <w:t xml:space="preserve">or equipment </w:t>
      </w:r>
      <w:r>
        <w:rPr>
          <w:sz w:val="26"/>
          <w:szCs w:val="26"/>
        </w:rPr>
        <w:t>w</w:t>
      </w:r>
      <w:r w:rsidR="00C4221D">
        <w:rPr>
          <w:sz w:val="26"/>
          <w:szCs w:val="26"/>
        </w:rPr>
        <w:t xml:space="preserve">ere installed in areas where natural gas is available.  This information, as well as other data obtained through the Statewide Evaluator, will be helpful to the fuel switching working group as it studies market potential and the potential impacts of </w:t>
      </w:r>
      <w:r>
        <w:rPr>
          <w:sz w:val="26"/>
          <w:szCs w:val="26"/>
        </w:rPr>
        <w:t>EE&amp;C Plans</w:t>
      </w:r>
      <w:r w:rsidR="00C4221D">
        <w:rPr>
          <w:sz w:val="26"/>
          <w:szCs w:val="26"/>
        </w:rPr>
        <w:t xml:space="preserve">. </w:t>
      </w:r>
    </w:p>
    <w:p w:rsidR="00C4221D" w:rsidRDefault="00C4221D" w:rsidP="00763213">
      <w:pPr>
        <w:spacing w:line="360" w:lineRule="auto"/>
        <w:ind w:firstLine="1440"/>
        <w:rPr>
          <w:bCs/>
          <w:sz w:val="26"/>
          <w:szCs w:val="26"/>
        </w:rPr>
      </w:pPr>
    </w:p>
    <w:p w:rsidR="00AF0BC6" w:rsidRPr="008E7C8E" w:rsidRDefault="00AF0BC6" w:rsidP="00AF0BC6">
      <w:pPr>
        <w:pStyle w:val="Heading5"/>
      </w:pPr>
      <w:bookmarkStart w:id="74" w:name="_Toc242516250"/>
      <w:bookmarkStart w:id="75" w:name="_Toc244499306"/>
      <w:r>
        <w:t xml:space="preserve">(2)  </w:t>
      </w:r>
      <w:r>
        <w:tab/>
      </w:r>
      <w:r w:rsidR="002D3C42">
        <w:t>Distributed Generation</w:t>
      </w:r>
      <w:bookmarkEnd w:id="74"/>
      <w:bookmarkEnd w:id="75"/>
    </w:p>
    <w:p w:rsidR="00AF0BC6" w:rsidRDefault="00AF0BC6" w:rsidP="0029321C">
      <w:pPr>
        <w:spacing w:line="360" w:lineRule="auto"/>
        <w:ind w:firstLine="1440"/>
        <w:rPr>
          <w:sz w:val="26"/>
          <w:szCs w:val="26"/>
        </w:rPr>
      </w:pPr>
    </w:p>
    <w:p w:rsidR="002D3C42" w:rsidRDefault="00763213" w:rsidP="008E4C54">
      <w:pPr>
        <w:pStyle w:val="Heading6"/>
      </w:pPr>
      <w:bookmarkStart w:id="76" w:name="_Toc242516251"/>
      <w:bookmarkStart w:id="77" w:name="_Toc244499307"/>
      <w:r>
        <w:t>(A)</w:t>
      </w:r>
      <w:r>
        <w:tab/>
      </w:r>
      <w:r w:rsidR="002D3C42">
        <w:t>Positions of the Parties</w:t>
      </w:r>
      <w:bookmarkEnd w:id="76"/>
      <w:bookmarkEnd w:id="77"/>
    </w:p>
    <w:p w:rsidR="002D3C42" w:rsidRDefault="002D3C42" w:rsidP="002D3C42">
      <w:pPr>
        <w:spacing w:line="360" w:lineRule="auto"/>
        <w:ind w:firstLine="2880"/>
        <w:rPr>
          <w:sz w:val="26"/>
          <w:szCs w:val="26"/>
        </w:rPr>
      </w:pPr>
    </w:p>
    <w:p w:rsidR="00A024BC" w:rsidRDefault="00F42436" w:rsidP="00A659EF">
      <w:pPr>
        <w:tabs>
          <w:tab w:val="left" w:pos="720"/>
          <w:tab w:val="left" w:pos="1170"/>
          <w:tab w:val="left" w:pos="1980"/>
          <w:tab w:val="left" w:pos="4608"/>
        </w:tabs>
        <w:spacing w:line="360" w:lineRule="auto"/>
        <w:rPr>
          <w:bCs/>
          <w:sz w:val="26"/>
          <w:szCs w:val="26"/>
        </w:rPr>
      </w:pPr>
      <w:r w:rsidRPr="009530CF">
        <w:rPr>
          <w:sz w:val="26"/>
          <w:szCs w:val="26"/>
        </w:rPr>
        <w:tab/>
      </w:r>
      <w:r w:rsidRPr="009530CF">
        <w:rPr>
          <w:sz w:val="26"/>
          <w:szCs w:val="26"/>
        </w:rPr>
        <w:tab/>
      </w:r>
      <w:r w:rsidR="00246631">
        <w:rPr>
          <w:sz w:val="26"/>
          <w:szCs w:val="26"/>
        </w:rPr>
        <w:t xml:space="preserve">The </w:t>
      </w:r>
      <w:r w:rsidRPr="009530CF">
        <w:rPr>
          <w:sz w:val="26"/>
          <w:szCs w:val="26"/>
        </w:rPr>
        <w:t>DEP submits that FirstEnergy’s Commercial and Ind</w:t>
      </w:r>
      <w:r w:rsidR="00A43320">
        <w:rPr>
          <w:sz w:val="26"/>
          <w:szCs w:val="26"/>
        </w:rPr>
        <w:t>ustrial Demand Response Program</w:t>
      </w:r>
      <w:r w:rsidRPr="009530CF">
        <w:rPr>
          <w:sz w:val="26"/>
          <w:szCs w:val="26"/>
        </w:rPr>
        <w:t xml:space="preserve"> has the potential to indirectly address peak demand through the increased use of distributed generation.  </w:t>
      </w:r>
      <w:r w:rsidR="009C7D54">
        <w:rPr>
          <w:sz w:val="26"/>
          <w:szCs w:val="26"/>
        </w:rPr>
        <w:t xml:space="preserve">In other words, </w:t>
      </w:r>
      <w:r w:rsidR="00246631">
        <w:rPr>
          <w:sz w:val="26"/>
          <w:szCs w:val="26"/>
        </w:rPr>
        <w:t xml:space="preserve">the </w:t>
      </w:r>
      <w:r w:rsidR="009C7D54">
        <w:rPr>
          <w:sz w:val="26"/>
          <w:szCs w:val="26"/>
        </w:rPr>
        <w:t xml:space="preserve">DEP is concerned that </w:t>
      </w:r>
      <w:r w:rsidR="00A43320">
        <w:rPr>
          <w:sz w:val="26"/>
          <w:szCs w:val="26"/>
        </w:rPr>
        <w:t xml:space="preserve">customers will </w:t>
      </w:r>
      <w:r w:rsidR="00A43320">
        <w:rPr>
          <w:bCs/>
          <w:sz w:val="26"/>
          <w:szCs w:val="26"/>
        </w:rPr>
        <w:t>reduce their</w:t>
      </w:r>
      <w:r w:rsidR="00A43320" w:rsidRPr="009530CF">
        <w:rPr>
          <w:bCs/>
          <w:sz w:val="26"/>
          <w:szCs w:val="26"/>
        </w:rPr>
        <w:t xml:space="preserve"> consumption of electricity </w:t>
      </w:r>
      <w:r w:rsidR="00A43320">
        <w:rPr>
          <w:bCs/>
          <w:sz w:val="26"/>
          <w:szCs w:val="26"/>
        </w:rPr>
        <w:t xml:space="preserve">from </w:t>
      </w:r>
      <w:r w:rsidR="00153D05">
        <w:rPr>
          <w:bCs/>
          <w:sz w:val="26"/>
          <w:szCs w:val="26"/>
        </w:rPr>
        <w:t xml:space="preserve">the grid </w:t>
      </w:r>
      <w:r w:rsidR="00A43320" w:rsidRPr="009530CF">
        <w:rPr>
          <w:bCs/>
          <w:sz w:val="26"/>
          <w:szCs w:val="26"/>
        </w:rPr>
        <w:t xml:space="preserve">during </w:t>
      </w:r>
      <w:r w:rsidR="00A43320">
        <w:rPr>
          <w:bCs/>
          <w:sz w:val="26"/>
          <w:szCs w:val="26"/>
        </w:rPr>
        <w:t xml:space="preserve">peak </w:t>
      </w:r>
      <w:r w:rsidR="00A43320" w:rsidRPr="009530CF">
        <w:rPr>
          <w:bCs/>
          <w:sz w:val="26"/>
          <w:szCs w:val="26"/>
        </w:rPr>
        <w:t>period</w:t>
      </w:r>
      <w:r w:rsidR="00A43320">
        <w:rPr>
          <w:bCs/>
          <w:sz w:val="26"/>
          <w:szCs w:val="26"/>
        </w:rPr>
        <w:t xml:space="preserve">s </w:t>
      </w:r>
      <w:r w:rsidR="007A203D">
        <w:rPr>
          <w:bCs/>
          <w:sz w:val="26"/>
          <w:szCs w:val="26"/>
        </w:rPr>
        <w:t xml:space="preserve">simply </w:t>
      </w:r>
      <w:r w:rsidR="00A43320" w:rsidRPr="009530CF">
        <w:rPr>
          <w:bCs/>
          <w:sz w:val="26"/>
          <w:szCs w:val="26"/>
        </w:rPr>
        <w:t xml:space="preserve">by </w:t>
      </w:r>
      <w:r w:rsidR="007A203D">
        <w:rPr>
          <w:bCs/>
          <w:sz w:val="26"/>
          <w:szCs w:val="26"/>
        </w:rPr>
        <w:t>resorting to other sources of power, such as back-up generators</w:t>
      </w:r>
      <w:r w:rsidR="00A43320">
        <w:rPr>
          <w:bCs/>
          <w:sz w:val="26"/>
          <w:szCs w:val="26"/>
        </w:rPr>
        <w:t xml:space="preserve">.  </w:t>
      </w:r>
      <w:r w:rsidR="00153D05">
        <w:rPr>
          <w:bCs/>
          <w:sz w:val="26"/>
          <w:szCs w:val="26"/>
        </w:rPr>
        <w:t xml:space="preserve">DEP MB at 8.  </w:t>
      </w:r>
    </w:p>
    <w:p w:rsidR="00A024BC" w:rsidRDefault="00A024BC" w:rsidP="00A024BC">
      <w:pPr>
        <w:tabs>
          <w:tab w:val="left" w:pos="720"/>
          <w:tab w:val="left" w:pos="1170"/>
          <w:tab w:val="left" w:pos="1980"/>
          <w:tab w:val="left" w:pos="4608"/>
        </w:tabs>
        <w:spacing w:line="360" w:lineRule="auto"/>
        <w:ind w:right="-180"/>
        <w:rPr>
          <w:bCs/>
          <w:sz w:val="26"/>
          <w:szCs w:val="26"/>
        </w:rPr>
      </w:pPr>
    </w:p>
    <w:p w:rsidR="00F42436" w:rsidRPr="009530CF" w:rsidRDefault="00246631" w:rsidP="00A659EF">
      <w:pPr>
        <w:tabs>
          <w:tab w:val="left" w:pos="720"/>
          <w:tab w:val="left" w:pos="1170"/>
          <w:tab w:val="left" w:pos="1980"/>
          <w:tab w:val="left" w:pos="4608"/>
        </w:tabs>
        <w:spacing w:line="360" w:lineRule="auto"/>
        <w:ind w:firstLine="1440"/>
        <w:rPr>
          <w:bCs/>
          <w:sz w:val="26"/>
          <w:szCs w:val="26"/>
        </w:rPr>
      </w:pPr>
      <w:r>
        <w:rPr>
          <w:sz w:val="26"/>
          <w:szCs w:val="26"/>
        </w:rPr>
        <w:lastRenderedPageBreak/>
        <w:t xml:space="preserve">The </w:t>
      </w:r>
      <w:r w:rsidR="00F42436" w:rsidRPr="009530CF">
        <w:rPr>
          <w:sz w:val="26"/>
          <w:szCs w:val="26"/>
        </w:rPr>
        <w:t xml:space="preserve">DEP avers that using distributed generation to reduce peak demand is not permitted under Act 129.  </w:t>
      </w:r>
      <w:r>
        <w:rPr>
          <w:sz w:val="26"/>
          <w:szCs w:val="26"/>
        </w:rPr>
        <w:t xml:space="preserve">The </w:t>
      </w:r>
      <w:r w:rsidR="00153D05">
        <w:rPr>
          <w:sz w:val="26"/>
          <w:szCs w:val="26"/>
        </w:rPr>
        <w:t>DEP</w:t>
      </w:r>
      <w:r w:rsidR="00F42436" w:rsidRPr="009530CF">
        <w:rPr>
          <w:sz w:val="26"/>
          <w:szCs w:val="26"/>
        </w:rPr>
        <w:t xml:space="preserve"> states that the definitions of both </w:t>
      </w:r>
      <w:r w:rsidR="00F42436" w:rsidRPr="009530CF">
        <w:rPr>
          <w:bCs/>
          <w:sz w:val="26"/>
          <w:szCs w:val="26"/>
        </w:rPr>
        <w:t>“energy efficiency and conservation measures” and “peak demand” indicate that the only acceptable str</w:t>
      </w:r>
      <w:r w:rsidR="00153D05">
        <w:rPr>
          <w:bCs/>
          <w:sz w:val="26"/>
          <w:szCs w:val="26"/>
        </w:rPr>
        <w:t>ategies to reduce peak demand are</w:t>
      </w:r>
      <w:r w:rsidR="00F42436" w:rsidRPr="009530CF">
        <w:rPr>
          <w:bCs/>
          <w:sz w:val="26"/>
          <w:szCs w:val="26"/>
        </w:rPr>
        <w:t xml:space="preserve"> to reduce overall consumption or shift consumption to non-peak hours.  “Energy efficiency and conservation measures” is defined in relevant part as “the technology, practice or other measure [that] </w:t>
      </w:r>
      <w:r w:rsidR="00F42436" w:rsidRPr="009530CF">
        <w:rPr>
          <w:bCs/>
          <w:i/>
          <w:sz w:val="26"/>
          <w:szCs w:val="26"/>
        </w:rPr>
        <w:t>reduces consumption of energy</w:t>
      </w:r>
      <w:r w:rsidR="00F42436" w:rsidRPr="009530CF">
        <w:rPr>
          <w:bCs/>
          <w:sz w:val="26"/>
          <w:szCs w:val="26"/>
        </w:rPr>
        <w:t xml:space="preserve"> or peak load by the retail customer.” 66 Pa. C.S. § 2806.1(m) (emphasis added). “Peak demand” is defined as “[t]he highest </w:t>
      </w:r>
      <w:r w:rsidR="00F42436" w:rsidRPr="009530CF">
        <w:rPr>
          <w:bCs/>
          <w:i/>
          <w:sz w:val="26"/>
          <w:szCs w:val="26"/>
        </w:rPr>
        <w:t xml:space="preserve">electrical requirement </w:t>
      </w:r>
      <w:r w:rsidR="00F42436" w:rsidRPr="009530CF">
        <w:rPr>
          <w:bCs/>
          <w:sz w:val="26"/>
          <w:szCs w:val="26"/>
        </w:rPr>
        <w:t xml:space="preserve">during a specified period.”  </w:t>
      </w:r>
      <w:r w:rsidR="00F42436" w:rsidRPr="00153D05">
        <w:rPr>
          <w:bCs/>
          <w:i/>
          <w:sz w:val="26"/>
          <w:szCs w:val="26"/>
        </w:rPr>
        <w:t>Id</w:t>
      </w:r>
      <w:r w:rsidR="00F42436" w:rsidRPr="009530CF">
        <w:rPr>
          <w:bCs/>
          <w:sz w:val="26"/>
          <w:szCs w:val="26"/>
        </w:rPr>
        <w:t xml:space="preserve">. (emphasis added).  </w:t>
      </w:r>
      <w:r>
        <w:rPr>
          <w:bCs/>
          <w:sz w:val="26"/>
          <w:szCs w:val="26"/>
        </w:rPr>
        <w:t xml:space="preserve">The </w:t>
      </w:r>
      <w:r w:rsidR="00F42436" w:rsidRPr="009530CF">
        <w:rPr>
          <w:bCs/>
          <w:sz w:val="26"/>
          <w:szCs w:val="26"/>
        </w:rPr>
        <w:t>DEP submits that</w:t>
      </w:r>
      <w:r w:rsidR="00153D05">
        <w:rPr>
          <w:bCs/>
          <w:sz w:val="26"/>
          <w:szCs w:val="26"/>
        </w:rPr>
        <w:t>,</w:t>
      </w:r>
      <w:r w:rsidR="00F42436" w:rsidRPr="009530CF">
        <w:rPr>
          <w:bCs/>
          <w:sz w:val="26"/>
          <w:szCs w:val="26"/>
        </w:rPr>
        <w:t xml:space="preserve"> </w:t>
      </w:r>
      <w:r w:rsidR="00153D05">
        <w:rPr>
          <w:bCs/>
          <w:sz w:val="26"/>
          <w:szCs w:val="26"/>
        </w:rPr>
        <w:t xml:space="preserve">when these </w:t>
      </w:r>
      <w:r w:rsidR="00A024BC">
        <w:rPr>
          <w:bCs/>
          <w:sz w:val="26"/>
          <w:szCs w:val="26"/>
        </w:rPr>
        <w:t>definitions</w:t>
      </w:r>
      <w:r w:rsidR="00153D05">
        <w:rPr>
          <w:bCs/>
          <w:sz w:val="26"/>
          <w:szCs w:val="26"/>
        </w:rPr>
        <w:t xml:space="preserve"> are read</w:t>
      </w:r>
      <w:r w:rsidR="00F42436" w:rsidRPr="009530CF">
        <w:rPr>
          <w:bCs/>
          <w:sz w:val="26"/>
          <w:szCs w:val="26"/>
        </w:rPr>
        <w:t xml:space="preserve"> together, it is clear that reducing </w:t>
      </w:r>
      <w:r w:rsidR="000843A7">
        <w:rPr>
          <w:bCs/>
          <w:sz w:val="26"/>
          <w:szCs w:val="26"/>
        </w:rPr>
        <w:t xml:space="preserve">the </w:t>
      </w:r>
      <w:r w:rsidR="00F42436" w:rsidRPr="009530CF">
        <w:rPr>
          <w:bCs/>
          <w:sz w:val="26"/>
          <w:szCs w:val="26"/>
        </w:rPr>
        <w:t>consumption of electricity during the highest specified period simply cannot occur by generating electricity with a behind</w:t>
      </w:r>
      <w:r w:rsidR="000843A7">
        <w:rPr>
          <w:bCs/>
          <w:sz w:val="26"/>
          <w:szCs w:val="26"/>
        </w:rPr>
        <w:t>-</w:t>
      </w:r>
      <w:r w:rsidR="00F42436" w:rsidRPr="009530CF">
        <w:rPr>
          <w:bCs/>
          <w:sz w:val="26"/>
          <w:szCs w:val="26"/>
        </w:rPr>
        <w:t>the</w:t>
      </w:r>
      <w:r w:rsidR="000843A7">
        <w:rPr>
          <w:bCs/>
          <w:sz w:val="26"/>
          <w:szCs w:val="26"/>
        </w:rPr>
        <w:t>-</w:t>
      </w:r>
      <w:r w:rsidR="00F42436" w:rsidRPr="009530CF">
        <w:rPr>
          <w:bCs/>
          <w:sz w:val="26"/>
          <w:szCs w:val="26"/>
        </w:rPr>
        <w:t xml:space="preserve">meter source </w:t>
      </w:r>
      <w:r w:rsidR="000843A7">
        <w:rPr>
          <w:bCs/>
          <w:sz w:val="26"/>
          <w:szCs w:val="26"/>
        </w:rPr>
        <w:t>(</w:t>
      </w:r>
      <w:r w:rsidR="00F42436" w:rsidRPr="009530CF">
        <w:rPr>
          <w:bCs/>
          <w:sz w:val="26"/>
          <w:szCs w:val="26"/>
        </w:rPr>
        <w:t>other than solar energy</w:t>
      </w:r>
      <w:r w:rsidR="000843A7">
        <w:rPr>
          <w:bCs/>
          <w:sz w:val="26"/>
          <w:szCs w:val="26"/>
        </w:rPr>
        <w:t>,</w:t>
      </w:r>
      <w:r w:rsidR="00F42436" w:rsidRPr="009530CF">
        <w:rPr>
          <w:bCs/>
          <w:sz w:val="26"/>
          <w:szCs w:val="26"/>
        </w:rPr>
        <w:t xml:space="preserve"> </w:t>
      </w:r>
      <w:r w:rsidR="000843A7">
        <w:rPr>
          <w:bCs/>
          <w:sz w:val="26"/>
          <w:szCs w:val="26"/>
        </w:rPr>
        <w:t xml:space="preserve">which </w:t>
      </w:r>
      <w:r w:rsidR="00F42436" w:rsidRPr="009530CF">
        <w:rPr>
          <w:bCs/>
          <w:sz w:val="26"/>
          <w:szCs w:val="26"/>
        </w:rPr>
        <w:t>is specifically listed as an energy efficiency and conservation measure).</w:t>
      </w:r>
      <w:r w:rsidR="00C44863">
        <w:rPr>
          <w:bCs/>
          <w:sz w:val="26"/>
          <w:szCs w:val="26"/>
        </w:rPr>
        <w:t xml:space="preserve">  DEP MB at </w:t>
      </w:r>
      <w:r w:rsidR="0021616A">
        <w:rPr>
          <w:bCs/>
          <w:sz w:val="26"/>
          <w:szCs w:val="26"/>
        </w:rPr>
        <w:t>8</w:t>
      </w:r>
      <w:r w:rsidR="00C44863">
        <w:rPr>
          <w:bCs/>
          <w:sz w:val="26"/>
          <w:szCs w:val="26"/>
        </w:rPr>
        <w:t>.</w:t>
      </w:r>
      <w:r w:rsidR="00635844">
        <w:rPr>
          <w:bCs/>
          <w:sz w:val="26"/>
          <w:szCs w:val="26"/>
        </w:rPr>
        <w:t xml:space="preserve">  </w:t>
      </w:r>
    </w:p>
    <w:p w:rsidR="009C7D54" w:rsidRDefault="00F42436" w:rsidP="00A024BC">
      <w:pPr>
        <w:tabs>
          <w:tab w:val="left" w:pos="720"/>
          <w:tab w:val="left" w:pos="1170"/>
          <w:tab w:val="left" w:pos="1980"/>
          <w:tab w:val="left" w:pos="4608"/>
        </w:tabs>
        <w:spacing w:line="360" w:lineRule="auto"/>
        <w:ind w:right="-180"/>
        <w:rPr>
          <w:sz w:val="26"/>
          <w:szCs w:val="26"/>
        </w:rPr>
      </w:pPr>
      <w:r w:rsidRPr="009530CF">
        <w:rPr>
          <w:sz w:val="26"/>
          <w:szCs w:val="26"/>
        </w:rPr>
        <w:tab/>
      </w:r>
      <w:r w:rsidRPr="009530CF">
        <w:rPr>
          <w:sz w:val="26"/>
          <w:szCs w:val="26"/>
        </w:rPr>
        <w:tab/>
      </w:r>
    </w:p>
    <w:p w:rsidR="00F42436" w:rsidRPr="009530CF" w:rsidRDefault="00246631" w:rsidP="00A659EF">
      <w:pPr>
        <w:tabs>
          <w:tab w:val="left" w:pos="720"/>
          <w:tab w:val="left" w:pos="1170"/>
          <w:tab w:val="left" w:pos="1980"/>
          <w:tab w:val="left" w:pos="4608"/>
        </w:tabs>
        <w:spacing w:line="360" w:lineRule="auto"/>
        <w:ind w:firstLine="1440"/>
        <w:rPr>
          <w:sz w:val="26"/>
          <w:szCs w:val="26"/>
        </w:rPr>
      </w:pPr>
      <w:r>
        <w:rPr>
          <w:sz w:val="26"/>
          <w:szCs w:val="26"/>
        </w:rPr>
        <w:t xml:space="preserve">The </w:t>
      </w:r>
      <w:r w:rsidR="00F42436" w:rsidRPr="009530CF">
        <w:rPr>
          <w:sz w:val="26"/>
          <w:szCs w:val="26"/>
        </w:rPr>
        <w:t xml:space="preserve">DEP </w:t>
      </w:r>
      <w:r w:rsidR="00A659EF">
        <w:rPr>
          <w:sz w:val="26"/>
          <w:szCs w:val="26"/>
        </w:rPr>
        <w:t xml:space="preserve">also </w:t>
      </w:r>
      <w:r w:rsidR="00F42436" w:rsidRPr="009530CF">
        <w:rPr>
          <w:sz w:val="26"/>
          <w:szCs w:val="26"/>
        </w:rPr>
        <w:t>states that grid demand reduction that is merely replaced by higher emitting distributed gene</w:t>
      </w:r>
      <w:r w:rsidR="00C44863">
        <w:rPr>
          <w:sz w:val="26"/>
          <w:szCs w:val="26"/>
        </w:rPr>
        <w:t>ration has negative air impacts</w:t>
      </w:r>
      <w:r w:rsidR="00F42436" w:rsidRPr="009530CF">
        <w:rPr>
          <w:sz w:val="26"/>
          <w:szCs w:val="26"/>
        </w:rPr>
        <w:t xml:space="preserve"> and is an unacceptable strategy for Pennsylvania.  </w:t>
      </w:r>
      <w:r>
        <w:rPr>
          <w:sz w:val="26"/>
          <w:szCs w:val="26"/>
        </w:rPr>
        <w:t xml:space="preserve">The </w:t>
      </w:r>
      <w:r w:rsidR="00F42436" w:rsidRPr="009530CF">
        <w:rPr>
          <w:sz w:val="26"/>
          <w:szCs w:val="26"/>
        </w:rPr>
        <w:t>DEP states that</w:t>
      </w:r>
      <w:r w:rsidR="00244CC5">
        <w:rPr>
          <w:sz w:val="26"/>
          <w:szCs w:val="26"/>
        </w:rPr>
        <w:t>,</w:t>
      </w:r>
      <w:r w:rsidR="00F42436" w:rsidRPr="009530CF">
        <w:rPr>
          <w:sz w:val="26"/>
          <w:szCs w:val="26"/>
        </w:rPr>
        <w:t xml:space="preserve"> because those resources will be deployed when ozone levels are the highest, the detrimental impact to human health could be quite significant and should be avoided.</w:t>
      </w:r>
      <w:r w:rsidR="00C44863">
        <w:rPr>
          <w:sz w:val="26"/>
          <w:szCs w:val="26"/>
        </w:rPr>
        <w:t xml:space="preserve">  DEP MB at 10.</w:t>
      </w:r>
      <w:r w:rsidR="00635844">
        <w:rPr>
          <w:sz w:val="26"/>
          <w:szCs w:val="26"/>
        </w:rPr>
        <w:t xml:space="preserve">  </w:t>
      </w:r>
    </w:p>
    <w:p w:rsidR="00F42436" w:rsidRPr="009530CF" w:rsidRDefault="00F42436" w:rsidP="00A024BC">
      <w:pPr>
        <w:tabs>
          <w:tab w:val="left" w:pos="720"/>
          <w:tab w:val="left" w:pos="1170"/>
          <w:tab w:val="left" w:pos="1980"/>
          <w:tab w:val="left" w:pos="4608"/>
        </w:tabs>
        <w:spacing w:line="360" w:lineRule="auto"/>
        <w:ind w:right="-180"/>
        <w:rPr>
          <w:sz w:val="26"/>
          <w:szCs w:val="26"/>
        </w:rPr>
      </w:pPr>
    </w:p>
    <w:p w:rsidR="00F42436" w:rsidRPr="009530CF" w:rsidRDefault="00F42436" w:rsidP="00073201">
      <w:pPr>
        <w:tabs>
          <w:tab w:val="left" w:pos="720"/>
          <w:tab w:val="left" w:pos="1170"/>
          <w:tab w:val="left" w:pos="1980"/>
          <w:tab w:val="left" w:pos="4608"/>
        </w:tabs>
        <w:spacing w:line="360" w:lineRule="auto"/>
        <w:rPr>
          <w:sz w:val="26"/>
          <w:szCs w:val="26"/>
        </w:rPr>
      </w:pPr>
      <w:r w:rsidRPr="009530CF">
        <w:rPr>
          <w:sz w:val="26"/>
          <w:szCs w:val="26"/>
        </w:rPr>
        <w:tab/>
      </w:r>
      <w:r w:rsidRPr="009530CF">
        <w:rPr>
          <w:sz w:val="26"/>
          <w:szCs w:val="26"/>
        </w:rPr>
        <w:tab/>
        <w:t xml:space="preserve">The Companies state that </w:t>
      </w:r>
      <w:r w:rsidR="00246631">
        <w:rPr>
          <w:sz w:val="26"/>
          <w:szCs w:val="26"/>
        </w:rPr>
        <w:t xml:space="preserve">the </w:t>
      </w:r>
      <w:r w:rsidRPr="009530CF">
        <w:rPr>
          <w:sz w:val="26"/>
          <w:szCs w:val="26"/>
        </w:rPr>
        <w:t xml:space="preserve">DEP bases its position on an intricate discussion of the shortfalls of </w:t>
      </w:r>
      <w:r w:rsidR="00353AF2">
        <w:rPr>
          <w:sz w:val="26"/>
          <w:szCs w:val="26"/>
        </w:rPr>
        <w:t xml:space="preserve">the </w:t>
      </w:r>
      <w:r w:rsidRPr="009530CF">
        <w:rPr>
          <w:sz w:val="26"/>
          <w:szCs w:val="26"/>
        </w:rPr>
        <w:t>DEP</w:t>
      </w:r>
      <w:r w:rsidR="00353AF2">
        <w:rPr>
          <w:sz w:val="26"/>
          <w:szCs w:val="26"/>
        </w:rPr>
        <w:t>’s</w:t>
      </w:r>
      <w:r w:rsidRPr="009530CF">
        <w:rPr>
          <w:sz w:val="26"/>
          <w:szCs w:val="26"/>
        </w:rPr>
        <w:t xml:space="preserve"> regulations concerning emissions released by backup generators.  The Companies state that this is not the forum in which to fix Pennsylvania’s environmental regulations</w:t>
      </w:r>
      <w:r w:rsidR="0021616A">
        <w:rPr>
          <w:sz w:val="26"/>
          <w:szCs w:val="26"/>
        </w:rPr>
        <w:t xml:space="preserve">.  Moreover, </w:t>
      </w:r>
      <w:r w:rsidRPr="009530CF">
        <w:rPr>
          <w:sz w:val="26"/>
          <w:szCs w:val="26"/>
        </w:rPr>
        <w:t>the Companies</w:t>
      </w:r>
      <w:r w:rsidR="0021616A">
        <w:rPr>
          <w:sz w:val="26"/>
          <w:szCs w:val="26"/>
        </w:rPr>
        <w:t xml:space="preserve"> contend that their </w:t>
      </w:r>
      <w:r w:rsidRPr="009530CF">
        <w:rPr>
          <w:sz w:val="26"/>
          <w:szCs w:val="26"/>
        </w:rPr>
        <w:t xml:space="preserve">Plans should not be held hostage due to such regulatory deficiencies. </w:t>
      </w:r>
      <w:r w:rsidR="0021616A">
        <w:rPr>
          <w:sz w:val="26"/>
          <w:szCs w:val="26"/>
        </w:rPr>
        <w:t xml:space="preserve"> FirstEnergy </w:t>
      </w:r>
      <w:r w:rsidR="00073201">
        <w:rPr>
          <w:sz w:val="26"/>
          <w:szCs w:val="26"/>
        </w:rPr>
        <w:t>RB at 19.</w:t>
      </w:r>
      <w:r w:rsidR="00635844">
        <w:rPr>
          <w:sz w:val="26"/>
          <w:szCs w:val="26"/>
        </w:rPr>
        <w:t xml:space="preserve">  </w:t>
      </w:r>
    </w:p>
    <w:p w:rsidR="00F42436" w:rsidRDefault="00F42436" w:rsidP="00A024BC">
      <w:pPr>
        <w:spacing w:line="360" w:lineRule="auto"/>
        <w:ind w:firstLine="2880"/>
        <w:rPr>
          <w:sz w:val="26"/>
          <w:szCs w:val="26"/>
        </w:rPr>
      </w:pPr>
    </w:p>
    <w:p w:rsidR="00824AE3" w:rsidRDefault="00824AE3">
      <w:pPr>
        <w:spacing w:after="200" w:line="276" w:lineRule="auto"/>
        <w:rPr>
          <w:rFonts w:eastAsiaTheme="majorEastAsia"/>
          <w:b/>
          <w:iCs/>
          <w:sz w:val="26"/>
          <w:szCs w:val="26"/>
        </w:rPr>
      </w:pPr>
      <w:bookmarkStart w:id="78" w:name="_Toc242516252"/>
      <w:r>
        <w:br w:type="page"/>
      </w:r>
    </w:p>
    <w:p w:rsidR="002D3C42" w:rsidRDefault="00763213" w:rsidP="008E4C54">
      <w:pPr>
        <w:pStyle w:val="Heading6"/>
      </w:pPr>
      <w:bookmarkStart w:id="79" w:name="_Toc244499308"/>
      <w:r>
        <w:lastRenderedPageBreak/>
        <w:t>(B)</w:t>
      </w:r>
      <w:r>
        <w:tab/>
      </w:r>
      <w:r w:rsidR="002D3C42">
        <w:t>Disposition</w:t>
      </w:r>
      <w:bookmarkEnd w:id="78"/>
      <w:bookmarkEnd w:id="79"/>
    </w:p>
    <w:p w:rsidR="003C1CBC" w:rsidRDefault="00151F00" w:rsidP="00151F00">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Pr>
          <w:sz w:val="26"/>
          <w:szCs w:val="26"/>
        </w:rPr>
        <w:tab/>
      </w:r>
    </w:p>
    <w:p w:rsidR="003C1CBC" w:rsidRPr="00BA3E70" w:rsidRDefault="00227CB6" w:rsidP="003C1C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 xml:space="preserve">We find that </w:t>
      </w:r>
      <w:r w:rsidR="003C1CBC" w:rsidRPr="00BA3E70">
        <w:rPr>
          <w:sz w:val="26"/>
          <w:szCs w:val="26"/>
        </w:rPr>
        <w:t>Act 129</w:t>
      </w:r>
      <w:r w:rsidR="003C1CBC">
        <w:rPr>
          <w:sz w:val="26"/>
          <w:szCs w:val="26"/>
        </w:rPr>
        <w:t xml:space="preserve"> </w:t>
      </w:r>
      <w:r w:rsidR="003C1CBC" w:rsidRPr="00BA3E70">
        <w:rPr>
          <w:sz w:val="26"/>
          <w:szCs w:val="26"/>
        </w:rPr>
        <w:t xml:space="preserve">does not eliminate distributed generation for use in meeting energy </w:t>
      </w:r>
      <w:r w:rsidR="007A203D">
        <w:rPr>
          <w:sz w:val="26"/>
          <w:szCs w:val="26"/>
        </w:rPr>
        <w:t xml:space="preserve">consumption </w:t>
      </w:r>
      <w:r w:rsidR="003C1CBC" w:rsidRPr="00BA3E70">
        <w:rPr>
          <w:sz w:val="26"/>
          <w:szCs w:val="26"/>
        </w:rPr>
        <w:t>and demand reduction goals.  Rather, Act 129 is silent with respect to the use of distributed energy resources</w:t>
      </w:r>
      <w:r w:rsidR="003C1CBC">
        <w:rPr>
          <w:sz w:val="26"/>
          <w:szCs w:val="26"/>
        </w:rPr>
        <w:t xml:space="preserve">.  </w:t>
      </w:r>
      <w:r w:rsidR="003C1CBC" w:rsidRPr="00BA3E70">
        <w:rPr>
          <w:sz w:val="26"/>
          <w:szCs w:val="26"/>
        </w:rPr>
        <w:t xml:space="preserve">The Act does not dictate how EDCs must meet the reduction goals, only that they must.  The Act appropriately leaves these matters to the discretion of the EDCs, pursuant to the Commission’s review. </w:t>
      </w:r>
      <w:r w:rsidR="00635844">
        <w:rPr>
          <w:sz w:val="26"/>
          <w:szCs w:val="26"/>
        </w:rPr>
        <w:t xml:space="preserve"> </w:t>
      </w:r>
    </w:p>
    <w:p w:rsidR="003C1CBC" w:rsidRPr="00BA3E70" w:rsidRDefault="003C1CBC" w:rsidP="003C1C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3C1CBC" w:rsidRPr="00BA3E70" w:rsidRDefault="003C1CBC" w:rsidP="003C1C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BA3E70">
        <w:rPr>
          <w:sz w:val="26"/>
          <w:szCs w:val="26"/>
        </w:rPr>
        <w:t xml:space="preserve">The definition of “peak demand” explicitly states that, for an EDC, “the term shall mean the sum of the metered consumption for all retail customers over that period.”  66 Pa. C.S. § 2806.1(m).  It is undeniable that the use of distributed energy resources during peak hours will reduce a company’s metered consumption during those periods.  Because on-site generation is generally located “behind the meter,” distributed energy resources also reduce the metered consumption of the retail customer, which is one of the qualifying factors for “energy efficiency and conservation measures,” as defined by the Act. </w:t>
      </w:r>
      <w:r w:rsidR="00635844">
        <w:rPr>
          <w:sz w:val="26"/>
          <w:szCs w:val="26"/>
        </w:rPr>
        <w:t xml:space="preserve"> </w:t>
      </w:r>
    </w:p>
    <w:p w:rsidR="003C1CBC" w:rsidRPr="00BA3E70" w:rsidRDefault="003C1CBC" w:rsidP="003C1C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3C1CBC" w:rsidRPr="00BA3E70" w:rsidRDefault="003C1CBC" w:rsidP="003C1C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BA3E70">
        <w:rPr>
          <w:sz w:val="26"/>
          <w:szCs w:val="26"/>
        </w:rPr>
        <w:t xml:space="preserve">Program administrators will </w:t>
      </w:r>
      <w:r w:rsidR="00D64BE4">
        <w:rPr>
          <w:sz w:val="26"/>
          <w:szCs w:val="26"/>
        </w:rPr>
        <w:t>be required to comply with all federal, state and l</w:t>
      </w:r>
      <w:r w:rsidRPr="00BA3E70">
        <w:rPr>
          <w:sz w:val="26"/>
          <w:szCs w:val="26"/>
        </w:rPr>
        <w:t xml:space="preserve">ocal requirements relating to distributed generation.  </w:t>
      </w:r>
      <w:r w:rsidR="000F2BBB">
        <w:rPr>
          <w:sz w:val="26"/>
          <w:szCs w:val="26"/>
        </w:rPr>
        <w:t xml:space="preserve">Under this approach, </w:t>
      </w:r>
      <w:r w:rsidRPr="00BA3E70">
        <w:rPr>
          <w:sz w:val="26"/>
          <w:szCs w:val="26"/>
        </w:rPr>
        <w:t xml:space="preserve">a distributed generation program </w:t>
      </w:r>
      <w:r w:rsidR="000F2BBB">
        <w:rPr>
          <w:sz w:val="26"/>
          <w:szCs w:val="26"/>
        </w:rPr>
        <w:t xml:space="preserve">can </w:t>
      </w:r>
      <w:r w:rsidRPr="00BA3E70">
        <w:rPr>
          <w:sz w:val="26"/>
          <w:szCs w:val="26"/>
        </w:rPr>
        <w:t>reduce peak demand i</w:t>
      </w:r>
      <w:r w:rsidR="001D7DC2">
        <w:rPr>
          <w:sz w:val="26"/>
          <w:szCs w:val="26"/>
        </w:rPr>
        <w:t>n full compliance with both Act </w:t>
      </w:r>
      <w:r w:rsidRPr="00BA3E70">
        <w:rPr>
          <w:sz w:val="26"/>
          <w:szCs w:val="26"/>
        </w:rPr>
        <w:t>129 and curre</w:t>
      </w:r>
      <w:r w:rsidR="00635844">
        <w:rPr>
          <w:sz w:val="26"/>
          <w:szCs w:val="26"/>
        </w:rPr>
        <w:t xml:space="preserve">nt Commonwealth regulations.  </w:t>
      </w:r>
    </w:p>
    <w:p w:rsidR="003C1CBC" w:rsidRPr="00BA3E70" w:rsidRDefault="003C1CBC" w:rsidP="003C1C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0F2BBB" w:rsidRDefault="003C1CBC" w:rsidP="003C1C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BA3E70">
        <w:rPr>
          <w:sz w:val="26"/>
          <w:szCs w:val="26"/>
        </w:rPr>
        <w:t>Moreover, back-up generators can be an effective type of demand response programming.  Back-up generation is a low cost piece in achieving demand reduction</w:t>
      </w:r>
      <w:r w:rsidR="000F2BBB">
        <w:rPr>
          <w:sz w:val="26"/>
          <w:szCs w:val="26"/>
        </w:rPr>
        <w:t>, s</w:t>
      </w:r>
      <w:r w:rsidRPr="00BA3E70">
        <w:rPr>
          <w:sz w:val="26"/>
          <w:szCs w:val="26"/>
        </w:rPr>
        <w:t>o long as the units operate within the terms of their permits</w:t>
      </w:r>
      <w:r w:rsidR="000F2BBB">
        <w:rPr>
          <w:sz w:val="26"/>
          <w:szCs w:val="26"/>
        </w:rPr>
        <w:t>.</w:t>
      </w:r>
      <w:r w:rsidR="00286976">
        <w:rPr>
          <w:sz w:val="26"/>
          <w:szCs w:val="26"/>
        </w:rPr>
        <w:t xml:space="preserve">  </w:t>
      </w:r>
    </w:p>
    <w:p w:rsidR="003C1CBC" w:rsidRPr="00BA3E70" w:rsidRDefault="003C1CBC" w:rsidP="003C1C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3C1CBC" w:rsidRDefault="003C1CBC" w:rsidP="003C1C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BA3E70">
        <w:rPr>
          <w:sz w:val="26"/>
          <w:szCs w:val="26"/>
        </w:rPr>
        <w:t xml:space="preserve">Thus, the Commission should support a strategy of targeting eligible C&amp;I customers who have existing backup generation resources, or are interested in having grid-connected generating units installed at their facilities, in order to realize energy </w:t>
      </w:r>
      <w:r w:rsidRPr="00BA3E70">
        <w:rPr>
          <w:sz w:val="26"/>
          <w:szCs w:val="26"/>
        </w:rPr>
        <w:lastRenderedPageBreak/>
        <w:t xml:space="preserve">savings and peak demand reductions.  </w:t>
      </w:r>
      <w:r w:rsidR="00244CC5">
        <w:rPr>
          <w:sz w:val="26"/>
          <w:szCs w:val="26"/>
        </w:rPr>
        <w:t xml:space="preserve">Since </w:t>
      </w:r>
      <w:r w:rsidRPr="00BA3E70">
        <w:rPr>
          <w:sz w:val="26"/>
          <w:szCs w:val="26"/>
        </w:rPr>
        <w:t xml:space="preserve">Act 129 does not dictate how EDCs must meet these goals, </w:t>
      </w:r>
      <w:r w:rsidR="00244CC5">
        <w:rPr>
          <w:sz w:val="26"/>
          <w:szCs w:val="26"/>
        </w:rPr>
        <w:t>and</w:t>
      </w:r>
      <w:r w:rsidRPr="00BA3E70">
        <w:rPr>
          <w:sz w:val="26"/>
          <w:szCs w:val="26"/>
        </w:rPr>
        <w:t xml:space="preserve"> appropriately leaves these matters to the discretion of the EDCs pursuant to the Commission’s review, we only encourage the EDCs to be cognizant of this issue.  For these reasons, we conclude that the proposal to restrict the dispatch of distributed energy resources is unreasonable and should be rejected.</w:t>
      </w:r>
      <w:r w:rsidR="00286976">
        <w:rPr>
          <w:sz w:val="26"/>
          <w:szCs w:val="26"/>
        </w:rPr>
        <w:t xml:space="preserve">  </w:t>
      </w:r>
    </w:p>
    <w:p w:rsidR="000F2BBB" w:rsidRDefault="000F2BBB" w:rsidP="003C1C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29321C" w:rsidRPr="00352094" w:rsidRDefault="00B6382E" w:rsidP="00940B59">
      <w:pPr>
        <w:pStyle w:val="Heading3"/>
      </w:pPr>
      <w:bookmarkStart w:id="80" w:name="_Toc242516253"/>
      <w:bookmarkStart w:id="81" w:name="_Toc244499309"/>
      <w:r>
        <w:t xml:space="preserve">7.  </w:t>
      </w:r>
      <w:r w:rsidR="006F4B78">
        <w:tab/>
      </w:r>
      <w:r w:rsidR="005B1144" w:rsidRPr="00352094">
        <w:t>Proposals for Improvement of EDC Plan</w:t>
      </w:r>
      <w:bookmarkEnd w:id="80"/>
      <w:bookmarkEnd w:id="81"/>
    </w:p>
    <w:p w:rsidR="005B1144" w:rsidRDefault="005B1144" w:rsidP="0029321C">
      <w:pPr>
        <w:spacing w:line="360" w:lineRule="auto"/>
        <w:ind w:firstLine="1440"/>
        <w:rPr>
          <w:sz w:val="26"/>
          <w:szCs w:val="26"/>
        </w:rPr>
      </w:pPr>
    </w:p>
    <w:p w:rsidR="00411452" w:rsidRPr="009530CF" w:rsidRDefault="00217053" w:rsidP="00411452">
      <w:pPr>
        <w:spacing w:line="360" w:lineRule="auto"/>
        <w:ind w:firstLine="1440"/>
        <w:rPr>
          <w:sz w:val="26"/>
          <w:szCs w:val="26"/>
        </w:rPr>
      </w:pPr>
      <w:r>
        <w:rPr>
          <w:sz w:val="26"/>
          <w:szCs w:val="26"/>
        </w:rPr>
        <w:t>The Commission’s EE&amp;C Program must include “procedures to make recommendations as to additional measures that will enable an electric distribution company to improve its plan and exceed the required reductions in consumption.”  66 Pa. C.S. §</w:t>
      </w:r>
      <w:r w:rsidR="005B529F">
        <w:rPr>
          <w:sz w:val="26"/>
          <w:szCs w:val="26"/>
        </w:rPr>
        <w:t xml:space="preserve"> 2806.1(a)(6).</w:t>
      </w:r>
      <w:r w:rsidR="00411452">
        <w:rPr>
          <w:sz w:val="26"/>
          <w:szCs w:val="26"/>
        </w:rPr>
        <w:t xml:space="preserve">  We begin by discussing specific proposals (if any) for improving specific programs targeted toward residential, commercial and industrial customers.  We then discuss generic issues that affect multiple programs proposed by FirstEnergy, reg</w:t>
      </w:r>
      <w:r w:rsidR="00286976">
        <w:rPr>
          <w:sz w:val="26"/>
          <w:szCs w:val="26"/>
        </w:rPr>
        <w:t xml:space="preserve">ardless of customer class.  </w:t>
      </w:r>
    </w:p>
    <w:p w:rsidR="00217053" w:rsidRDefault="00217053" w:rsidP="0029321C">
      <w:pPr>
        <w:spacing w:line="360" w:lineRule="auto"/>
        <w:ind w:firstLine="1440"/>
        <w:rPr>
          <w:sz w:val="26"/>
          <w:szCs w:val="26"/>
        </w:rPr>
      </w:pPr>
    </w:p>
    <w:p w:rsidR="005B1144" w:rsidRPr="00352094" w:rsidRDefault="00B6382E" w:rsidP="00940B59">
      <w:pPr>
        <w:pStyle w:val="Heading4"/>
      </w:pPr>
      <w:bookmarkStart w:id="82" w:name="_Toc242516254"/>
      <w:bookmarkStart w:id="83" w:name="_Toc244499310"/>
      <w:r>
        <w:t xml:space="preserve">a.  </w:t>
      </w:r>
      <w:r w:rsidR="006F4B78">
        <w:tab/>
      </w:r>
      <w:r w:rsidR="005B1144" w:rsidRPr="00352094">
        <w:t>Residential</w:t>
      </w:r>
      <w:bookmarkEnd w:id="82"/>
      <w:bookmarkEnd w:id="83"/>
    </w:p>
    <w:p w:rsidR="00CB56F9" w:rsidRDefault="00CB56F9" w:rsidP="00CB56F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D29AA" w:rsidRPr="008E7C8E" w:rsidRDefault="00B95E35" w:rsidP="00DE6207">
      <w:pPr>
        <w:pStyle w:val="Heading5"/>
        <w:spacing w:line="240" w:lineRule="auto"/>
        <w:ind w:left="3600" w:hanging="720"/>
      </w:pPr>
      <w:bookmarkStart w:id="84" w:name="_Toc242516258"/>
      <w:bookmarkStart w:id="85" w:name="_Toc244499311"/>
      <w:r>
        <w:t>(</w:t>
      </w:r>
      <w:r w:rsidR="00B1447D">
        <w:t>1</w:t>
      </w:r>
      <w:r w:rsidR="009D29AA">
        <w:t xml:space="preserve">)  </w:t>
      </w:r>
      <w:r w:rsidR="009D29AA">
        <w:tab/>
      </w:r>
      <w:r w:rsidR="006323FA">
        <w:t>Incentives for Residential Furnace Fan R</w:t>
      </w:r>
      <w:r w:rsidR="00DE6207">
        <w:t>eplacement in the Residential Whole Building Program</w:t>
      </w:r>
      <w:bookmarkEnd w:id="84"/>
      <w:bookmarkEnd w:id="85"/>
    </w:p>
    <w:p w:rsidR="009D29AA" w:rsidRDefault="009D29AA" w:rsidP="009D29AA">
      <w:pPr>
        <w:spacing w:line="360" w:lineRule="auto"/>
        <w:ind w:firstLine="2880"/>
        <w:rPr>
          <w:sz w:val="26"/>
          <w:szCs w:val="26"/>
        </w:rPr>
      </w:pPr>
    </w:p>
    <w:p w:rsidR="009D29AA" w:rsidRDefault="009D29AA" w:rsidP="008E4C54">
      <w:pPr>
        <w:pStyle w:val="Heading6"/>
      </w:pPr>
      <w:bookmarkStart w:id="86" w:name="_Toc242516259"/>
      <w:bookmarkStart w:id="87" w:name="_Toc244499312"/>
      <w:r>
        <w:t>(A)</w:t>
      </w:r>
      <w:r>
        <w:tab/>
        <w:t>Positions of the Parties</w:t>
      </w:r>
      <w:bookmarkEnd w:id="86"/>
      <w:bookmarkEnd w:id="87"/>
    </w:p>
    <w:p w:rsidR="009D29AA" w:rsidRDefault="009D29AA" w:rsidP="00CB56F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DE6207" w:rsidRDefault="00DE6207" w:rsidP="00DE6207">
      <w:pPr>
        <w:autoSpaceDE w:val="0"/>
        <w:autoSpaceDN w:val="0"/>
        <w:adjustRightInd w:val="0"/>
        <w:spacing w:line="360" w:lineRule="auto"/>
        <w:rPr>
          <w:sz w:val="26"/>
          <w:szCs w:val="26"/>
        </w:rPr>
      </w:pPr>
      <w:r w:rsidRPr="000D09D2">
        <w:rPr>
          <w:sz w:val="26"/>
          <w:szCs w:val="26"/>
        </w:rPr>
        <w:tab/>
      </w:r>
      <w:r w:rsidRPr="000D09D2">
        <w:rPr>
          <w:sz w:val="26"/>
          <w:szCs w:val="26"/>
        </w:rPr>
        <w:tab/>
      </w:r>
      <w:r w:rsidR="003361C0">
        <w:rPr>
          <w:sz w:val="26"/>
          <w:szCs w:val="26"/>
        </w:rPr>
        <w:t xml:space="preserve">The </w:t>
      </w:r>
      <w:r w:rsidRPr="000D09D2">
        <w:rPr>
          <w:sz w:val="26"/>
          <w:szCs w:val="26"/>
        </w:rPr>
        <w:t>OCA identified the absence of measure</w:t>
      </w:r>
      <w:r w:rsidR="00A0338C">
        <w:rPr>
          <w:sz w:val="26"/>
          <w:szCs w:val="26"/>
        </w:rPr>
        <w:t>s</w:t>
      </w:r>
      <w:r w:rsidRPr="000D09D2">
        <w:rPr>
          <w:sz w:val="26"/>
          <w:szCs w:val="26"/>
        </w:rPr>
        <w:t xml:space="preserve"> for residential furnace fans as a gap in the program portfolio.  </w:t>
      </w:r>
      <w:r w:rsidRPr="000D09D2">
        <w:rPr>
          <w:rFonts w:eastAsia="Calibri"/>
          <w:sz w:val="26"/>
          <w:szCs w:val="26"/>
        </w:rPr>
        <w:t>OCA St. 1 at 24.</w:t>
      </w:r>
      <w:r>
        <w:rPr>
          <w:rFonts w:eastAsia="Calibri"/>
          <w:sz w:val="26"/>
          <w:szCs w:val="26"/>
        </w:rPr>
        <w:t xml:space="preserve">  </w:t>
      </w:r>
      <w:r w:rsidRPr="000D09D2">
        <w:rPr>
          <w:sz w:val="26"/>
          <w:szCs w:val="26"/>
        </w:rPr>
        <w:t>OCA witness Hill testified:</w:t>
      </w:r>
    </w:p>
    <w:p w:rsidR="00DE6207" w:rsidRPr="000D09D2" w:rsidRDefault="00DE6207" w:rsidP="00DE6207">
      <w:pPr>
        <w:autoSpaceDE w:val="0"/>
        <w:autoSpaceDN w:val="0"/>
        <w:adjustRightInd w:val="0"/>
        <w:rPr>
          <w:sz w:val="26"/>
          <w:szCs w:val="26"/>
        </w:rPr>
      </w:pPr>
    </w:p>
    <w:p w:rsidR="00DE6207" w:rsidRDefault="00DE6207" w:rsidP="00DE6207">
      <w:pPr>
        <w:autoSpaceDE w:val="0"/>
        <w:autoSpaceDN w:val="0"/>
        <w:adjustRightInd w:val="0"/>
        <w:ind w:left="1440" w:right="1440"/>
        <w:rPr>
          <w:rFonts w:eastAsia="Calibri"/>
          <w:sz w:val="26"/>
          <w:szCs w:val="26"/>
        </w:rPr>
      </w:pPr>
      <w:r w:rsidRPr="000D09D2">
        <w:rPr>
          <w:rFonts w:eastAsia="Calibri"/>
          <w:sz w:val="26"/>
          <w:szCs w:val="26"/>
        </w:rPr>
        <w:t xml:space="preserve">For residential markets we identified the absence of residential furnace fans as an important missing element at the measure level. The ACEEE Pennsylvania energy efficiency potential study released in 2009 identifies that </w:t>
      </w:r>
      <w:r w:rsidRPr="000D09D2">
        <w:rPr>
          <w:rFonts w:eastAsia="Calibri"/>
          <w:sz w:val="26"/>
          <w:szCs w:val="26"/>
        </w:rPr>
        <w:lastRenderedPageBreak/>
        <w:t>savings associated with the replacement of existing Permanent Split Capacitor furnace fans with ones that meet or exceed the minimum Electric Commutating Motor standards could meet 6% of the electric energy savings potential identified in the study for Pennsylvania.</w:t>
      </w:r>
      <w:r w:rsidR="00286976">
        <w:rPr>
          <w:rFonts w:eastAsia="Calibri"/>
          <w:sz w:val="26"/>
          <w:szCs w:val="26"/>
        </w:rPr>
        <w:t xml:space="preserve">  </w:t>
      </w:r>
    </w:p>
    <w:p w:rsidR="00DE6207" w:rsidRDefault="00DE6207" w:rsidP="00DE6207">
      <w:pPr>
        <w:autoSpaceDE w:val="0"/>
        <w:autoSpaceDN w:val="0"/>
        <w:adjustRightInd w:val="0"/>
        <w:rPr>
          <w:rFonts w:eastAsia="Calibri"/>
          <w:sz w:val="26"/>
          <w:szCs w:val="26"/>
        </w:rPr>
      </w:pPr>
    </w:p>
    <w:p w:rsidR="00DE6207" w:rsidRDefault="00DE6207" w:rsidP="00A0338C">
      <w:pPr>
        <w:autoSpaceDE w:val="0"/>
        <w:autoSpaceDN w:val="0"/>
        <w:adjustRightInd w:val="0"/>
        <w:spacing w:line="360" w:lineRule="auto"/>
        <w:rPr>
          <w:rFonts w:eastAsia="Calibri"/>
          <w:sz w:val="26"/>
          <w:szCs w:val="26"/>
        </w:rPr>
      </w:pPr>
      <w:r w:rsidRPr="000D09D2">
        <w:rPr>
          <w:rFonts w:eastAsia="Calibri"/>
          <w:sz w:val="26"/>
          <w:szCs w:val="26"/>
        </w:rPr>
        <w:t>OCA St. 1 at 24.</w:t>
      </w:r>
      <w:r>
        <w:rPr>
          <w:rFonts w:eastAsia="Calibri"/>
          <w:sz w:val="26"/>
          <w:szCs w:val="26"/>
        </w:rPr>
        <w:t xml:space="preserve">  </w:t>
      </w:r>
      <w:r w:rsidR="009C155F">
        <w:rPr>
          <w:rFonts w:eastAsia="Calibri"/>
          <w:sz w:val="26"/>
          <w:szCs w:val="26"/>
        </w:rPr>
        <w:t xml:space="preserve">Consequently, </w:t>
      </w:r>
      <w:r w:rsidR="0064461F">
        <w:rPr>
          <w:rFonts w:eastAsia="Calibri"/>
          <w:sz w:val="26"/>
          <w:szCs w:val="26"/>
        </w:rPr>
        <w:t xml:space="preserve">the </w:t>
      </w:r>
      <w:r w:rsidRPr="000D09D2">
        <w:rPr>
          <w:rFonts w:eastAsia="Calibri"/>
          <w:sz w:val="26"/>
          <w:szCs w:val="26"/>
        </w:rPr>
        <w:t>OCA recommend</w:t>
      </w:r>
      <w:r w:rsidR="0064461F">
        <w:rPr>
          <w:rFonts w:eastAsia="Calibri"/>
          <w:sz w:val="26"/>
          <w:szCs w:val="26"/>
        </w:rPr>
        <w:t>s</w:t>
      </w:r>
      <w:r w:rsidR="00A0338C">
        <w:rPr>
          <w:rFonts w:eastAsia="Calibri"/>
          <w:sz w:val="26"/>
          <w:szCs w:val="26"/>
        </w:rPr>
        <w:t xml:space="preserve"> that the Companies</w:t>
      </w:r>
      <w:r w:rsidRPr="000D09D2">
        <w:rPr>
          <w:rFonts w:eastAsia="Calibri"/>
          <w:sz w:val="26"/>
          <w:szCs w:val="26"/>
        </w:rPr>
        <w:t xml:space="preserve"> include an incentive for residential furnace fan replacement </w:t>
      </w:r>
      <w:r w:rsidR="00A0338C">
        <w:rPr>
          <w:rFonts w:eastAsia="Calibri"/>
          <w:sz w:val="26"/>
          <w:szCs w:val="26"/>
        </w:rPr>
        <w:t xml:space="preserve">in the </w:t>
      </w:r>
      <w:r w:rsidRPr="000D09D2">
        <w:rPr>
          <w:rFonts w:eastAsia="Calibri"/>
          <w:sz w:val="26"/>
          <w:szCs w:val="26"/>
        </w:rPr>
        <w:t>Res</w:t>
      </w:r>
      <w:r w:rsidR="00A0338C">
        <w:rPr>
          <w:rFonts w:eastAsia="Calibri"/>
          <w:sz w:val="26"/>
          <w:szCs w:val="26"/>
        </w:rPr>
        <w:t>ide</w:t>
      </w:r>
      <w:r w:rsidR="009C155F">
        <w:rPr>
          <w:rFonts w:eastAsia="Calibri"/>
          <w:sz w:val="26"/>
          <w:szCs w:val="26"/>
        </w:rPr>
        <w:t>ntial Whole Building P</w:t>
      </w:r>
      <w:r w:rsidR="00A0338C">
        <w:rPr>
          <w:rFonts w:eastAsia="Calibri"/>
          <w:sz w:val="26"/>
          <w:szCs w:val="26"/>
        </w:rPr>
        <w:t>rogram</w:t>
      </w:r>
      <w:r w:rsidRPr="000D09D2">
        <w:rPr>
          <w:rFonts w:eastAsia="Calibri"/>
          <w:sz w:val="26"/>
          <w:szCs w:val="26"/>
        </w:rPr>
        <w:t>.  OCA MB at 31</w:t>
      </w:r>
      <w:r w:rsidR="00A0338C">
        <w:rPr>
          <w:rFonts w:eastAsia="Calibri"/>
          <w:sz w:val="26"/>
          <w:szCs w:val="26"/>
        </w:rPr>
        <w:t>.</w:t>
      </w:r>
      <w:r w:rsidR="00286976">
        <w:rPr>
          <w:rFonts w:eastAsia="Calibri"/>
          <w:sz w:val="26"/>
          <w:szCs w:val="26"/>
        </w:rPr>
        <w:t xml:space="preserve">  </w:t>
      </w:r>
    </w:p>
    <w:p w:rsidR="00A0338C" w:rsidRPr="000D09D2" w:rsidRDefault="00A0338C" w:rsidP="00A0338C">
      <w:pPr>
        <w:autoSpaceDE w:val="0"/>
        <w:autoSpaceDN w:val="0"/>
        <w:adjustRightInd w:val="0"/>
        <w:spacing w:line="360" w:lineRule="auto"/>
        <w:ind w:firstLine="1440"/>
        <w:rPr>
          <w:sz w:val="26"/>
          <w:szCs w:val="26"/>
        </w:rPr>
      </w:pPr>
    </w:p>
    <w:p w:rsidR="00F262C6" w:rsidRDefault="00DE6207" w:rsidP="00A0338C">
      <w:pPr>
        <w:spacing w:line="360" w:lineRule="auto"/>
        <w:ind w:firstLine="1440"/>
        <w:rPr>
          <w:sz w:val="26"/>
          <w:szCs w:val="26"/>
        </w:rPr>
      </w:pPr>
      <w:r w:rsidRPr="000D09D2">
        <w:rPr>
          <w:sz w:val="26"/>
          <w:szCs w:val="26"/>
        </w:rPr>
        <w:t xml:space="preserve">The Companies acted upon </w:t>
      </w:r>
      <w:r w:rsidR="003361C0">
        <w:rPr>
          <w:sz w:val="26"/>
          <w:szCs w:val="26"/>
        </w:rPr>
        <w:t xml:space="preserve">the </w:t>
      </w:r>
      <w:r w:rsidRPr="000D09D2">
        <w:rPr>
          <w:sz w:val="26"/>
          <w:szCs w:val="26"/>
        </w:rPr>
        <w:t xml:space="preserve">OCA’s suggestion by </w:t>
      </w:r>
      <w:r w:rsidR="004C533A">
        <w:rPr>
          <w:sz w:val="26"/>
          <w:szCs w:val="26"/>
        </w:rPr>
        <w:t>includ</w:t>
      </w:r>
      <w:r w:rsidRPr="000D09D2">
        <w:rPr>
          <w:sz w:val="26"/>
          <w:szCs w:val="26"/>
        </w:rPr>
        <w:t>ing a rebate for residential furnace fan replacement</w:t>
      </w:r>
      <w:r w:rsidR="009C155F">
        <w:rPr>
          <w:sz w:val="26"/>
          <w:szCs w:val="26"/>
        </w:rPr>
        <w:t xml:space="preserve"> in </w:t>
      </w:r>
      <w:r w:rsidR="004C533A">
        <w:rPr>
          <w:sz w:val="26"/>
          <w:szCs w:val="26"/>
        </w:rPr>
        <w:t>the Plans submitted on September 21, 2009</w:t>
      </w:r>
      <w:r w:rsidRPr="000D09D2">
        <w:rPr>
          <w:sz w:val="26"/>
          <w:szCs w:val="26"/>
        </w:rPr>
        <w:t>.</w:t>
      </w:r>
      <w:r w:rsidR="00F262C6">
        <w:rPr>
          <w:sz w:val="26"/>
          <w:szCs w:val="26"/>
        </w:rPr>
        <w:t xml:space="preserve">  FirstEnergy RB at 4.</w:t>
      </w:r>
      <w:r w:rsidR="00286976">
        <w:rPr>
          <w:sz w:val="26"/>
          <w:szCs w:val="26"/>
        </w:rPr>
        <w:t xml:space="preserve">  </w:t>
      </w:r>
    </w:p>
    <w:p w:rsidR="00DE6207" w:rsidRPr="000D09D2" w:rsidRDefault="00DE6207" w:rsidP="00A0338C">
      <w:pPr>
        <w:spacing w:line="360" w:lineRule="auto"/>
        <w:ind w:firstLine="1440"/>
        <w:rPr>
          <w:sz w:val="26"/>
          <w:szCs w:val="26"/>
        </w:rPr>
      </w:pPr>
      <w:r w:rsidRPr="000D09D2">
        <w:rPr>
          <w:sz w:val="26"/>
          <w:szCs w:val="26"/>
        </w:rPr>
        <w:t xml:space="preserve"> </w:t>
      </w:r>
    </w:p>
    <w:p w:rsidR="00DE6207" w:rsidRPr="000D09D2" w:rsidRDefault="009B1CDC" w:rsidP="008E4C54">
      <w:pPr>
        <w:pStyle w:val="Heading6"/>
      </w:pPr>
      <w:bookmarkStart w:id="88" w:name="_Toc242516260"/>
      <w:bookmarkStart w:id="89" w:name="_Toc244499313"/>
      <w:r>
        <w:t>(B</w:t>
      </w:r>
      <w:r w:rsidR="00DE6207" w:rsidRPr="000D09D2">
        <w:t xml:space="preserve">)  </w:t>
      </w:r>
      <w:r w:rsidR="00DE6207" w:rsidRPr="000D09D2">
        <w:tab/>
        <w:t>Disposition</w:t>
      </w:r>
      <w:bookmarkEnd w:id="88"/>
      <w:bookmarkEnd w:id="89"/>
    </w:p>
    <w:p w:rsidR="00F262C6" w:rsidRDefault="00DE6207" w:rsidP="00DE6207">
      <w:pPr>
        <w:spacing w:line="360" w:lineRule="auto"/>
        <w:rPr>
          <w:sz w:val="26"/>
          <w:szCs w:val="26"/>
        </w:rPr>
      </w:pPr>
      <w:r w:rsidRPr="00C07440">
        <w:rPr>
          <w:sz w:val="26"/>
          <w:szCs w:val="26"/>
        </w:rPr>
        <w:tab/>
      </w:r>
      <w:r>
        <w:rPr>
          <w:sz w:val="26"/>
          <w:szCs w:val="26"/>
        </w:rPr>
        <w:tab/>
      </w:r>
    </w:p>
    <w:p w:rsidR="00DE6207" w:rsidRPr="00C07440" w:rsidRDefault="00F262C6" w:rsidP="00903CA8">
      <w:pPr>
        <w:spacing w:line="360" w:lineRule="auto"/>
        <w:ind w:firstLine="1440"/>
        <w:rPr>
          <w:sz w:val="26"/>
          <w:szCs w:val="26"/>
        </w:rPr>
      </w:pPr>
      <w:r w:rsidRPr="00C07440">
        <w:rPr>
          <w:sz w:val="26"/>
          <w:szCs w:val="26"/>
        </w:rPr>
        <w:t xml:space="preserve">At </w:t>
      </w:r>
      <w:r w:rsidR="006323FA">
        <w:rPr>
          <w:sz w:val="26"/>
          <w:szCs w:val="26"/>
        </w:rPr>
        <w:t xml:space="preserve">the </w:t>
      </w:r>
      <w:r w:rsidRPr="00C07440">
        <w:rPr>
          <w:sz w:val="26"/>
          <w:szCs w:val="26"/>
        </w:rPr>
        <w:t>OCA’s suggestion, the Companies have added a rebate for residential furnace fan replacement</w:t>
      </w:r>
      <w:r w:rsidR="00903CA8">
        <w:rPr>
          <w:sz w:val="26"/>
          <w:szCs w:val="26"/>
        </w:rPr>
        <w:t xml:space="preserve"> to their Plans</w:t>
      </w:r>
      <w:r w:rsidRPr="00C07440">
        <w:rPr>
          <w:sz w:val="26"/>
          <w:szCs w:val="26"/>
        </w:rPr>
        <w:t xml:space="preserve">.  </w:t>
      </w:r>
      <w:r w:rsidR="008C3420">
        <w:rPr>
          <w:sz w:val="26"/>
          <w:szCs w:val="26"/>
        </w:rPr>
        <w:t xml:space="preserve">We note </w:t>
      </w:r>
      <w:r w:rsidR="00903CA8">
        <w:rPr>
          <w:sz w:val="26"/>
          <w:szCs w:val="26"/>
        </w:rPr>
        <w:t xml:space="preserve">that </w:t>
      </w:r>
      <w:r w:rsidRPr="00C07440">
        <w:rPr>
          <w:sz w:val="26"/>
          <w:szCs w:val="26"/>
        </w:rPr>
        <w:t>the rebate was added to the Residential Energy Efficiency HVAC Equipment Program instead of the suggested Residential Whole Building program.</w:t>
      </w:r>
      <w:r w:rsidR="00903CA8">
        <w:rPr>
          <w:sz w:val="26"/>
          <w:szCs w:val="26"/>
        </w:rPr>
        <w:t xml:space="preserve">  Nevertheless, we believe this change adequately addresses the OCA’s concern, and w</w:t>
      </w:r>
      <w:r w:rsidR="00DE6207" w:rsidRPr="00C07440">
        <w:rPr>
          <w:sz w:val="26"/>
          <w:szCs w:val="26"/>
        </w:rPr>
        <w:t xml:space="preserve">e see no reason to </w:t>
      </w:r>
      <w:r w:rsidR="00903CA8">
        <w:rPr>
          <w:sz w:val="26"/>
          <w:szCs w:val="26"/>
        </w:rPr>
        <w:t xml:space="preserve">further </w:t>
      </w:r>
      <w:r w:rsidR="00DE6207" w:rsidRPr="00C07440">
        <w:rPr>
          <w:sz w:val="26"/>
          <w:szCs w:val="26"/>
        </w:rPr>
        <w:t xml:space="preserve">modify </w:t>
      </w:r>
      <w:r w:rsidR="00903CA8">
        <w:rPr>
          <w:sz w:val="26"/>
          <w:szCs w:val="26"/>
        </w:rPr>
        <w:t xml:space="preserve">the </w:t>
      </w:r>
      <w:r w:rsidR="00DE6207" w:rsidRPr="00C07440">
        <w:rPr>
          <w:sz w:val="26"/>
          <w:szCs w:val="26"/>
        </w:rPr>
        <w:t xml:space="preserve">Companies’ </w:t>
      </w:r>
      <w:r w:rsidR="00903CA8">
        <w:rPr>
          <w:sz w:val="26"/>
          <w:szCs w:val="26"/>
        </w:rPr>
        <w:t xml:space="preserve">Plans </w:t>
      </w:r>
      <w:r w:rsidR="00DE6207" w:rsidRPr="00C07440">
        <w:rPr>
          <w:sz w:val="26"/>
          <w:szCs w:val="26"/>
        </w:rPr>
        <w:t xml:space="preserve">regarding </w:t>
      </w:r>
      <w:r w:rsidR="00903CA8">
        <w:rPr>
          <w:sz w:val="26"/>
          <w:szCs w:val="26"/>
        </w:rPr>
        <w:t>rebates for</w:t>
      </w:r>
      <w:r w:rsidR="00DE6207" w:rsidRPr="00C07440">
        <w:rPr>
          <w:sz w:val="26"/>
          <w:szCs w:val="26"/>
        </w:rPr>
        <w:t xml:space="preserve"> residentia</w:t>
      </w:r>
      <w:r w:rsidR="00903CA8">
        <w:rPr>
          <w:sz w:val="26"/>
          <w:szCs w:val="26"/>
        </w:rPr>
        <w:t>l furnace fans</w:t>
      </w:r>
      <w:r w:rsidR="00DE6207" w:rsidRPr="00C07440">
        <w:rPr>
          <w:sz w:val="26"/>
          <w:szCs w:val="26"/>
        </w:rPr>
        <w:t>.</w:t>
      </w:r>
      <w:r w:rsidR="00286976">
        <w:rPr>
          <w:sz w:val="26"/>
          <w:szCs w:val="26"/>
        </w:rPr>
        <w:t xml:space="preserve">  </w:t>
      </w:r>
    </w:p>
    <w:p w:rsidR="00DE6207" w:rsidRDefault="00DE6207" w:rsidP="00CB56F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8C3420" w:rsidRPr="008E7C8E" w:rsidRDefault="00B1447D" w:rsidP="008C3420">
      <w:pPr>
        <w:pStyle w:val="Heading5"/>
        <w:spacing w:line="240" w:lineRule="auto"/>
        <w:ind w:left="3600" w:hanging="720"/>
      </w:pPr>
      <w:bookmarkStart w:id="90" w:name="_Toc242516261"/>
      <w:bookmarkStart w:id="91" w:name="_Toc244499314"/>
      <w:r>
        <w:t>(2</w:t>
      </w:r>
      <w:r w:rsidR="008C3420">
        <w:t xml:space="preserve">)  </w:t>
      </w:r>
      <w:r w:rsidR="008C3420">
        <w:tab/>
        <w:t>Statewide Whole Home Performance Program</w:t>
      </w:r>
      <w:bookmarkEnd w:id="90"/>
      <w:bookmarkEnd w:id="91"/>
    </w:p>
    <w:p w:rsidR="008C3420" w:rsidRDefault="008C3420" w:rsidP="008C3420">
      <w:pPr>
        <w:spacing w:line="360" w:lineRule="auto"/>
        <w:ind w:firstLine="2880"/>
        <w:rPr>
          <w:sz w:val="26"/>
          <w:szCs w:val="26"/>
        </w:rPr>
      </w:pPr>
    </w:p>
    <w:p w:rsidR="008C3420" w:rsidRDefault="008C3420" w:rsidP="008E4C54">
      <w:pPr>
        <w:pStyle w:val="Heading6"/>
      </w:pPr>
      <w:bookmarkStart w:id="92" w:name="_Toc242516262"/>
      <w:bookmarkStart w:id="93" w:name="_Toc244499315"/>
      <w:r>
        <w:t>(A)</w:t>
      </w:r>
      <w:r>
        <w:tab/>
        <w:t>Positions of the Parties</w:t>
      </w:r>
      <w:bookmarkEnd w:id="92"/>
      <w:bookmarkEnd w:id="93"/>
    </w:p>
    <w:p w:rsidR="009D29AA" w:rsidRDefault="009D29AA" w:rsidP="00CB56F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8C3420" w:rsidRPr="00C07440" w:rsidRDefault="008C3420" w:rsidP="008C3420">
      <w:pPr>
        <w:spacing w:line="360" w:lineRule="auto"/>
        <w:rPr>
          <w:sz w:val="26"/>
          <w:szCs w:val="26"/>
        </w:rPr>
      </w:pPr>
      <w:r w:rsidRPr="00C07440">
        <w:rPr>
          <w:sz w:val="26"/>
          <w:szCs w:val="26"/>
        </w:rPr>
        <w:tab/>
      </w:r>
      <w:r>
        <w:rPr>
          <w:sz w:val="26"/>
          <w:szCs w:val="26"/>
        </w:rPr>
        <w:tab/>
      </w:r>
      <w:r w:rsidR="00353AF2">
        <w:rPr>
          <w:sz w:val="26"/>
          <w:szCs w:val="26"/>
        </w:rPr>
        <w:t xml:space="preserve">The </w:t>
      </w:r>
      <w:r w:rsidRPr="00C07440">
        <w:rPr>
          <w:sz w:val="26"/>
          <w:szCs w:val="26"/>
        </w:rPr>
        <w:t>DEP advocates for implementation of a statewide whole home performance program</w:t>
      </w:r>
      <w:r>
        <w:rPr>
          <w:sz w:val="26"/>
          <w:szCs w:val="26"/>
        </w:rPr>
        <w:t>,</w:t>
      </w:r>
      <w:r w:rsidRPr="00C07440">
        <w:rPr>
          <w:sz w:val="26"/>
          <w:szCs w:val="26"/>
        </w:rPr>
        <w:t xml:space="preserve"> stating that the absence of such a program is not in the public interest.  </w:t>
      </w:r>
      <w:r w:rsidR="00353AF2">
        <w:rPr>
          <w:sz w:val="26"/>
          <w:szCs w:val="26"/>
        </w:rPr>
        <w:t xml:space="preserve">The </w:t>
      </w:r>
      <w:r w:rsidRPr="00C07440">
        <w:rPr>
          <w:sz w:val="26"/>
          <w:szCs w:val="26"/>
        </w:rPr>
        <w:t xml:space="preserve">DEP </w:t>
      </w:r>
      <w:r>
        <w:rPr>
          <w:sz w:val="26"/>
          <w:szCs w:val="26"/>
        </w:rPr>
        <w:t>argues</w:t>
      </w:r>
      <w:r w:rsidRPr="00C07440">
        <w:rPr>
          <w:sz w:val="26"/>
          <w:szCs w:val="26"/>
        </w:rPr>
        <w:t xml:space="preserve"> that:</w:t>
      </w:r>
    </w:p>
    <w:p w:rsidR="00993893" w:rsidRDefault="00993893" w:rsidP="008C3420">
      <w:pPr>
        <w:ind w:left="1440" w:right="1440"/>
        <w:rPr>
          <w:sz w:val="26"/>
          <w:szCs w:val="26"/>
        </w:rPr>
      </w:pPr>
    </w:p>
    <w:p w:rsidR="008C3420" w:rsidRPr="00C07440" w:rsidRDefault="008C3420" w:rsidP="008C3420">
      <w:pPr>
        <w:ind w:left="1440" w:right="1440"/>
        <w:rPr>
          <w:sz w:val="26"/>
          <w:szCs w:val="26"/>
        </w:rPr>
      </w:pPr>
      <w:r w:rsidRPr="00C07440">
        <w:rPr>
          <w:sz w:val="26"/>
          <w:szCs w:val="26"/>
        </w:rPr>
        <w:lastRenderedPageBreak/>
        <w:t>First Energy’s Residential Home Building Comprehensive Program is a promising start but more than installation of unidentified “low cost measures” and rebates must be provided.  See EEC plan at 50 – 51.</w:t>
      </w:r>
    </w:p>
    <w:p w:rsidR="008C3420" w:rsidRPr="00C07440" w:rsidRDefault="008C3420" w:rsidP="008C3420">
      <w:pPr>
        <w:spacing w:line="360" w:lineRule="auto"/>
        <w:rPr>
          <w:sz w:val="26"/>
          <w:szCs w:val="26"/>
        </w:rPr>
      </w:pPr>
    </w:p>
    <w:p w:rsidR="008C3420" w:rsidRPr="00C07440" w:rsidRDefault="008C3420" w:rsidP="008C3420">
      <w:pPr>
        <w:spacing w:line="360" w:lineRule="auto"/>
        <w:rPr>
          <w:sz w:val="26"/>
          <w:szCs w:val="26"/>
        </w:rPr>
      </w:pPr>
      <w:r w:rsidRPr="00C07440">
        <w:rPr>
          <w:sz w:val="26"/>
          <w:szCs w:val="26"/>
        </w:rPr>
        <w:t xml:space="preserve">DEP MB at 10-11.  </w:t>
      </w:r>
      <w:r w:rsidR="00353AF2">
        <w:rPr>
          <w:sz w:val="26"/>
          <w:szCs w:val="26"/>
        </w:rPr>
        <w:t xml:space="preserve">The </w:t>
      </w:r>
      <w:r w:rsidRPr="00C07440">
        <w:rPr>
          <w:sz w:val="26"/>
          <w:szCs w:val="26"/>
        </w:rPr>
        <w:t>DEP</w:t>
      </w:r>
      <w:r w:rsidR="00353AF2">
        <w:rPr>
          <w:sz w:val="26"/>
          <w:szCs w:val="26"/>
        </w:rPr>
        <w:t>’s</w:t>
      </w:r>
      <w:r w:rsidRPr="00C07440">
        <w:rPr>
          <w:sz w:val="26"/>
          <w:szCs w:val="26"/>
        </w:rPr>
        <w:t xml:space="preserve"> witness Guttman provided testimony support</w:t>
      </w:r>
      <w:r>
        <w:rPr>
          <w:sz w:val="26"/>
          <w:szCs w:val="26"/>
        </w:rPr>
        <w:t>ing the value of</w:t>
      </w:r>
      <w:r w:rsidRPr="00C07440">
        <w:rPr>
          <w:sz w:val="26"/>
          <w:szCs w:val="26"/>
        </w:rPr>
        <w:t xml:space="preserve"> a whole house program, advocating for statewide standards in program design, proposing a specific program design and offering to facilitate and participate in development of a statewide Home Performance Program.  DEP St. 1 at 17-21.</w:t>
      </w:r>
    </w:p>
    <w:p w:rsidR="008C3420" w:rsidRPr="00C07440" w:rsidRDefault="008C3420" w:rsidP="008C3420">
      <w:pPr>
        <w:spacing w:line="360" w:lineRule="auto"/>
        <w:rPr>
          <w:sz w:val="26"/>
          <w:szCs w:val="26"/>
        </w:rPr>
      </w:pPr>
    </w:p>
    <w:p w:rsidR="008C3420" w:rsidRDefault="008C3420" w:rsidP="008C3420">
      <w:pPr>
        <w:spacing w:line="360" w:lineRule="auto"/>
        <w:rPr>
          <w:sz w:val="26"/>
          <w:szCs w:val="26"/>
        </w:rPr>
      </w:pPr>
      <w:r w:rsidRPr="00C07440">
        <w:rPr>
          <w:sz w:val="26"/>
          <w:szCs w:val="26"/>
        </w:rPr>
        <w:tab/>
      </w:r>
      <w:r>
        <w:rPr>
          <w:sz w:val="26"/>
          <w:szCs w:val="26"/>
        </w:rPr>
        <w:tab/>
      </w:r>
      <w:r w:rsidR="00B051A1">
        <w:rPr>
          <w:sz w:val="26"/>
          <w:szCs w:val="26"/>
        </w:rPr>
        <w:t>The Companies argue</w:t>
      </w:r>
      <w:r w:rsidRPr="00C07440">
        <w:rPr>
          <w:sz w:val="26"/>
          <w:szCs w:val="26"/>
        </w:rPr>
        <w:t xml:space="preserve"> against</w:t>
      </w:r>
      <w:r w:rsidR="003361C0">
        <w:rPr>
          <w:sz w:val="26"/>
          <w:szCs w:val="26"/>
        </w:rPr>
        <w:t xml:space="preserve"> the</w:t>
      </w:r>
      <w:r w:rsidRPr="00C07440">
        <w:rPr>
          <w:sz w:val="26"/>
          <w:szCs w:val="26"/>
        </w:rPr>
        <w:t xml:space="preserve"> DEP’s position </w:t>
      </w:r>
      <w:r w:rsidR="00B051A1">
        <w:rPr>
          <w:sz w:val="26"/>
          <w:szCs w:val="26"/>
        </w:rPr>
        <w:t>b</w:t>
      </w:r>
      <w:r w:rsidRPr="00C07440">
        <w:rPr>
          <w:sz w:val="26"/>
          <w:szCs w:val="26"/>
        </w:rPr>
        <w:t xml:space="preserve">ecause </w:t>
      </w:r>
      <w:r w:rsidR="00353AF2">
        <w:rPr>
          <w:sz w:val="26"/>
          <w:szCs w:val="26"/>
        </w:rPr>
        <w:t xml:space="preserve">the </w:t>
      </w:r>
      <w:r w:rsidRPr="00C07440">
        <w:rPr>
          <w:sz w:val="26"/>
          <w:szCs w:val="26"/>
        </w:rPr>
        <w:t xml:space="preserve">DEP has not provided evidence </w:t>
      </w:r>
      <w:r w:rsidR="00B051A1">
        <w:rPr>
          <w:sz w:val="26"/>
          <w:szCs w:val="26"/>
        </w:rPr>
        <w:t>demonstrating</w:t>
      </w:r>
      <w:r w:rsidRPr="00C07440">
        <w:rPr>
          <w:sz w:val="26"/>
          <w:szCs w:val="26"/>
        </w:rPr>
        <w:t xml:space="preserve"> </w:t>
      </w:r>
      <w:r w:rsidR="00B051A1">
        <w:rPr>
          <w:sz w:val="26"/>
          <w:szCs w:val="26"/>
        </w:rPr>
        <w:t>that adoption of the suggestion</w:t>
      </w:r>
      <w:r w:rsidRPr="00C07440">
        <w:rPr>
          <w:sz w:val="26"/>
          <w:szCs w:val="26"/>
        </w:rPr>
        <w:t xml:space="preserve"> would produce better results or be more cost effective than the Companies</w:t>
      </w:r>
      <w:r w:rsidR="00B051A1">
        <w:rPr>
          <w:sz w:val="26"/>
          <w:szCs w:val="26"/>
        </w:rPr>
        <w:t>’ Plans.  FirstEnergy</w:t>
      </w:r>
      <w:r w:rsidRPr="00C07440">
        <w:rPr>
          <w:sz w:val="26"/>
          <w:szCs w:val="26"/>
        </w:rPr>
        <w:t xml:space="preserve"> RB at 20-22. </w:t>
      </w:r>
    </w:p>
    <w:p w:rsidR="00B051A1" w:rsidRDefault="00B051A1" w:rsidP="008C3420">
      <w:pPr>
        <w:spacing w:line="360" w:lineRule="auto"/>
        <w:rPr>
          <w:sz w:val="26"/>
          <w:szCs w:val="26"/>
        </w:rPr>
      </w:pPr>
    </w:p>
    <w:p w:rsidR="00FB1DC8" w:rsidRDefault="00FB1DC8" w:rsidP="008E4C54">
      <w:pPr>
        <w:pStyle w:val="Heading6"/>
      </w:pPr>
      <w:bookmarkStart w:id="94" w:name="_Toc242516263"/>
      <w:bookmarkStart w:id="95" w:name="_Toc244499316"/>
      <w:r>
        <w:t>(B)</w:t>
      </w:r>
      <w:r>
        <w:tab/>
        <w:t>Disposition</w:t>
      </w:r>
      <w:bookmarkEnd w:id="94"/>
      <w:bookmarkEnd w:id="95"/>
    </w:p>
    <w:p w:rsidR="00B051A1" w:rsidRDefault="00B051A1" w:rsidP="008C3420">
      <w:pPr>
        <w:spacing w:line="360" w:lineRule="auto"/>
        <w:rPr>
          <w:sz w:val="26"/>
          <w:szCs w:val="26"/>
        </w:rPr>
      </w:pPr>
    </w:p>
    <w:p w:rsidR="00FB1DC8" w:rsidRDefault="00FB1DC8" w:rsidP="00FB1DC8">
      <w:pPr>
        <w:spacing w:line="360" w:lineRule="auto"/>
        <w:rPr>
          <w:sz w:val="26"/>
          <w:szCs w:val="26"/>
        </w:rPr>
      </w:pPr>
      <w:r w:rsidRPr="00C07440">
        <w:rPr>
          <w:sz w:val="26"/>
          <w:szCs w:val="26"/>
        </w:rPr>
        <w:tab/>
      </w:r>
      <w:r>
        <w:rPr>
          <w:sz w:val="26"/>
          <w:szCs w:val="26"/>
        </w:rPr>
        <w:tab/>
      </w:r>
      <w:r w:rsidR="00721752">
        <w:rPr>
          <w:sz w:val="26"/>
          <w:szCs w:val="26"/>
        </w:rPr>
        <w:t>The</w:t>
      </w:r>
      <w:r w:rsidR="00353AF2">
        <w:rPr>
          <w:sz w:val="26"/>
          <w:szCs w:val="26"/>
        </w:rPr>
        <w:t xml:space="preserve"> </w:t>
      </w:r>
      <w:r w:rsidRPr="00C07440">
        <w:rPr>
          <w:sz w:val="26"/>
          <w:szCs w:val="26"/>
        </w:rPr>
        <w:t>DEP</w:t>
      </w:r>
      <w:r w:rsidR="00353AF2">
        <w:rPr>
          <w:sz w:val="26"/>
          <w:szCs w:val="26"/>
        </w:rPr>
        <w:t>’s</w:t>
      </w:r>
      <w:r w:rsidRPr="00C07440">
        <w:rPr>
          <w:sz w:val="26"/>
          <w:szCs w:val="26"/>
        </w:rPr>
        <w:t xml:space="preserve"> witness Guttman</w:t>
      </w:r>
      <w:r w:rsidR="00DF2DF8">
        <w:rPr>
          <w:sz w:val="26"/>
          <w:szCs w:val="26"/>
        </w:rPr>
        <w:t xml:space="preserve">, together with </w:t>
      </w:r>
      <w:r w:rsidRPr="00C07440">
        <w:rPr>
          <w:sz w:val="26"/>
          <w:szCs w:val="26"/>
        </w:rPr>
        <w:t xml:space="preserve">the </w:t>
      </w:r>
      <w:r w:rsidR="00AB2889">
        <w:rPr>
          <w:sz w:val="26"/>
          <w:szCs w:val="26"/>
        </w:rPr>
        <w:t xml:space="preserve">DEP’s </w:t>
      </w:r>
      <w:r>
        <w:rPr>
          <w:sz w:val="26"/>
          <w:szCs w:val="26"/>
        </w:rPr>
        <w:t>Main Brief</w:t>
      </w:r>
      <w:r w:rsidR="00DF2DF8">
        <w:rPr>
          <w:sz w:val="26"/>
          <w:szCs w:val="26"/>
        </w:rPr>
        <w:t>,</w:t>
      </w:r>
      <w:r>
        <w:rPr>
          <w:sz w:val="26"/>
          <w:szCs w:val="26"/>
        </w:rPr>
        <w:t xml:space="preserve"> present </w:t>
      </w:r>
      <w:r w:rsidRPr="00C07440">
        <w:rPr>
          <w:sz w:val="26"/>
          <w:szCs w:val="26"/>
        </w:rPr>
        <w:t>a clear explanation of a whole house program</w:t>
      </w:r>
      <w:r>
        <w:rPr>
          <w:sz w:val="26"/>
          <w:szCs w:val="26"/>
        </w:rPr>
        <w:t>,</w:t>
      </w:r>
      <w:r w:rsidRPr="00C07440">
        <w:rPr>
          <w:sz w:val="26"/>
          <w:szCs w:val="26"/>
        </w:rPr>
        <w:t xml:space="preserve"> including the benefits </w:t>
      </w:r>
      <w:r>
        <w:rPr>
          <w:sz w:val="26"/>
          <w:szCs w:val="26"/>
        </w:rPr>
        <w:t xml:space="preserve">that could be </w:t>
      </w:r>
      <w:r w:rsidR="00D43A24">
        <w:rPr>
          <w:sz w:val="26"/>
          <w:szCs w:val="26"/>
        </w:rPr>
        <w:t xml:space="preserve">gained from a uniform </w:t>
      </w:r>
      <w:r w:rsidRPr="00C07440">
        <w:rPr>
          <w:sz w:val="26"/>
          <w:szCs w:val="26"/>
        </w:rPr>
        <w:t xml:space="preserve">statewide program.  The statewide program idea presented by </w:t>
      </w:r>
      <w:r w:rsidR="00353AF2">
        <w:rPr>
          <w:sz w:val="26"/>
          <w:szCs w:val="26"/>
        </w:rPr>
        <w:t xml:space="preserve">the </w:t>
      </w:r>
      <w:r w:rsidRPr="00C07440">
        <w:rPr>
          <w:sz w:val="26"/>
          <w:szCs w:val="26"/>
        </w:rPr>
        <w:t xml:space="preserve">DEP is in accordance </w:t>
      </w:r>
      <w:r>
        <w:rPr>
          <w:sz w:val="26"/>
          <w:szCs w:val="26"/>
        </w:rPr>
        <w:t xml:space="preserve">with </w:t>
      </w:r>
      <w:r w:rsidRPr="00C07440">
        <w:rPr>
          <w:sz w:val="26"/>
          <w:szCs w:val="26"/>
        </w:rPr>
        <w:t xml:space="preserve">the request by Chairman Cawley and Commissioner Gardner in their joint statement issued in conjunction with the </w:t>
      </w:r>
      <w:r w:rsidRPr="00C07440">
        <w:rPr>
          <w:i/>
          <w:sz w:val="26"/>
          <w:szCs w:val="26"/>
        </w:rPr>
        <w:t>Implementation Order</w:t>
      </w:r>
      <w:r w:rsidRPr="00C07440">
        <w:rPr>
          <w:sz w:val="26"/>
          <w:szCs w:val="26"/>
        </w:rPr>
        <w:t xml:space="preserve">.  </w:t>
      </w:r>
      <w:r w:rsidR="00B80B4F">
        <w:rPr>
          <w:sz w:val="26"/>
          <w:szCs w:val="26"/>
        </w:rPr>
        <w:t>However, i</w:t>
      </w:r>
      <w:r w:rsidRPr="00C07440">
        <w:rPr>
          <w:sz w:val="26"/>
          <w:szCs w:val="26"/>
        </w:rPr>
        <w:t xml:space="preserve">n the absence of a coordinated </w:t>
      </w:r>
      <w:r>
        <w:rPr>
          <w:sz w:val="26"/>
          <w:szCs w:val="26"/>
        </w:rPr>
        <w:t>statewide program effort, we can</w:t>
      </w:r>
      <w:r w:rsidRPr="00C07440">
        <w:rPr>
          <w:sz w:val="26"/>
          <w:szCs w:val="26"/>
        </w:rPr>
        <w:t xml:space="preserve">not require FirstEnergy to </w:t>
      </w:r>
      <w:r>
        <w:rPr>
          <w:sz w:val="26"/>
          <w:szCs w:val="26"/>
        </w:rPr>
        <w:t xml:space="preserve">modify its Plans to </w:t>
      </w:r>
      <w:r w:rsidRPr="00C07440">
        <w:rPr>
          <w:sz w:val="26"/>
          <w:szCs w:val="26"/>
        </w:rPr>
        <w:t xml:space="preserve">include a program that </w:t>
      </w:r>
      <w:r>
        <w:rPr>
          <w:sz w:val="26"/>
          <w:szCs w:val="26"/>
        </w:rPr>
        <w:t xml:space="preserve">will </w:t>
      </w:r>
      <w:r w:rsidRPr="00C07440">
        <w:rPr>
          <w:sz w:val="26"/>
          <w:szCs w:val="26"/>
        </w:rPr>
        <w:t xml:space="preserve">not be implemented by all EDCs.  </w:t>
      </w:r>
      <w:r w:rsidR="00B80B4F">
        <w:rPr>
          <w:sz w:val="26"/>
          <w:szCs w:val="26"/>
        </w:rPr>
        <w:t>A</w:t>
      </w:r>
      <w:r w:rsidRPr="00C07440">
        <w:rPr>
          <w:sz w:val="26"/>
          <w:szCs w:val="26"/>
        </w:rPr>
        <w:t xml:space="preserve">lso, </w:t>
      </w:r>
      <w:r w:rsidR="00385390">
        <w:rPr>
          <w:sz w:val="26"/>
          <w:szCs w:val="26"/>
        </w:rPr>
        <w:t xml:space="preserve">although </w:t>
      </w:r>
      <w:r w:rsidRPr="00C07440">
        <w:rPr>
          <w:sz w:val="26"/>
          <w:szCs w:val="26"/>
        </w:rPr>
        <w:t>these Act 129 programs are being run by a number of EDCs, not all EDCs are required to implement the Act.  Theref</w:t>
      </w:r>
      <w:r w:rsidR="00385390">
        <w:rPr>
          <w:sz w:val="26"/>
          <w:szCs w:val="26"/>
        </w:rPr>
        <w:t xml:space="preserve">ore, it would be impractical </w:t>
      </w:r>
      <w:r w:rsidRPr="00C07440">
        <w:rPr>
          <w:sz w:val="26"/>
          <w:szCs w:val="26"/>
        </w:rPr>
        <w:t>for a statewide program to be overlaid on EDCs which combined do</w:t>
      </w:r>
      <w:r>
        <w:rPr>
          <w:sz w:val="26"/>
          <w:szCs w:val="26"/>
        </w:rPr>
        <w:t xml:space="preserve"> not</w:t>
      </w:r>
      <w:r w:rsidRPr="00C07440">
        <w:rPr>
          <w:sz w:val="26"/>
          <w:szCs w:val="26"/>
        </w:rPr>
        <w:t xml:space="preserve"> serve the entire state.</w:t>
      </w:r>
      <w:r w:rsidR="00286976">
        <w:rPr>
          <w:sz w:val="26"/>
          <w:szCs w:val="26"/>
        </w:rPr>
        <w:t xml:space="preserve">  </w:t>
      </w:r>
    </w:p>
    <w:p w:rsidR="00B80B4F" w:rsidRDefault="00B80B4F" w:rsidP="00FB1DC8">
      <w:pPr>
        <w:spacing w:line="360" w:lineRule="auto"/>
        <w:rPr>
          <w:sz w:val="26"/>
          <w:szCs w:val="26"/>
        </w:rPr>
      </w:pPr>
    </w:p>
    <w:p w:rsidR="0007482E" w:rsidRDefault="00FD2F09">
      <w:pPr>
        <w:spacing w:line="360" w:lineRule="auto"/>
        <w:ind w:firstLine="1440"/>
        <w:rPr>
          <w:sz w:val="26"/>
          <w:szCs w:val="26"/>
        </w:rPr>
      </w:pPr>
      <w:r>
        <w:rPr>
          <w:sz w:val="26"/>
          <w:szCs w:val="26"/>
        </w:rPr>
        <w:t>In this regard, w</w:t>
      </w:r>
      <w:r w:rsidR="00B80B4F">
        <w:rPr>
          <w:sz w:val="26"/>
          <w:szCs w:val="26"/>
        </w:rPr>
        <w:t xml:space="preserve">e commend </w:t>
      </w:r>
      <w:r>
        <w:rPr>
          <w:sz w:val="26"/>
          <w:szCs w:val="26"/>
        </w:rPr>
        <w:t xml:space="preserve">FirstEnergy for coordinating its EE&amp;C development efforts across its three Pennsylvania operating companies to achieve cost efficiencies and consistencies in the programs offered by its three companies.  We </w:t>
      </w:r>
      <w:r>
        <w:rPr>
          <w:sz w:val="26"/>
          <w:szCs w:val="26"/>
        </w:rPr>
        <w:lastRenderedPageBreak/>
        <w:t xml:space="preserve">encourage Met Ed, Penelec, and Penn Power to </w:t>
      </w:r>
      <w:r w:rsidR="00FA3CC1">
        <w:rPr>
          <w:sz w:val="26"/>
          <w:szCs w:val="26"/>
        </w:rPr>
        <w:t xml:space="preserve">monitor and, where possible, </w:t>
      </w:r>
      <w:r>
        <w:rPr>
          <w:sz w:val="26"/>
          <w:szCs w:val="26"/>
        </w:rPr>
        <w:t xml:space="preserve">work with other EDCs to develop greater statewide consistency </w:t>
      </w:r>
      <w:r w:rsidR="00CB152F">
        <w:rPr>
          <w:sz w:val="26"/>
          <w:szCs w:val="26"/>
        </w:rPr>
        <w:t xml:space="preserve">in their </w:t>
      </w:r>
      <w:r>
        <w:rPr>
          <w:sz w:val="26"/>
          <w:szCs w:val="26"/>
        </w:rPr>
        <w:t>whole house and rebate programs to take advantage o</w:t>
      </w:r>
      <w:r w:rsidR="00CB152F">
        <w:rPr>
          <w:sz w:val="26"/>
          <w:szCs w:val="26"/>
        </w:rPr>
        <w:t>f efficiencies in marketing and shared vendors.</w:t>
      </w:r>
    </w:p>
    <w:p w:rsidR="00FA3CC1" w:rsidRDefault="00FA3CC1">
      <w:pPr>
        <w:spacing w:line="360" w:lineRule="auto"/>
        <w:ind w:firstLine="1440"/>
        <w:rPr>
          <w:sz w:val="26"/>
          <w:szCs w:val="26"/>
        </w:rPr>
      </w:pPr>
    </w:p>
    <w:p w:rsidR="005B1144" w:rsidRPr="00352094" w:rsidRDefault="00B6382E" w:rsidP="00940B59">
      <w:pPr>
        <w:pStyle w:val="Heading4"/>
      </w:pPr>
      <w:bookmarkStart w:id="96" w:name="_Toc242516264"/>
      <w:bookmarkStart w:id="97" w:name="_Toc244499317"/>
      <w:r>
        <w:t xml:space="preserve">b.  </w:t>
      </w:r>
      <w:r w:rsidR="006F4B78">
        <w:tab/>
      </w:r>
      <w:r w:rsidR="005B1144" w:rsidRPr="00352094">
        <w:t>Commercial</w:t>
      </w:r>
      <w:bookmarkEnd w:id="96"/>
      <w:bookmarkEnd w:id="97"/>
    </w:p>
    <w:p w:rsidR="006E0381" w:rsidRDefault="006E0381" w:rsidP="006E0381">
      <w:pPr>
        <w:pStyle w:val="Heading5"/>
        <w:spacing w:line="240" w:lineRule="auto"/>
        <w:ind w:left="3600" w:hanging="720"/>
      </w:pPr>
    </w:p>
    <w:p w:rsidR="006E0381" w:rsidRPr="006E0381" w:rsidRDefault="006E0381" w:rsidP="006E0381">
      <w:pPr>
        <w:pStyle w:val="Heading5"/>
        <w:spacing w:line="240" w:lineRule="auto"/>
        <w:ind w:left="3600" w:hanging="720"/>
      </w:pPr>
      <w:bookmarkStart w:id="98" w:name="_Toc242516265"/>
      <w:bookmarkStart w:id="99" w:name="_Toc244499318"/>
      <w:r>
        <w:t xml:space="preserve">(1)  </w:t>
      </w:r>
      <w:r>
        <w:tab/>
      </w:r>
      <w:r w:rsidRPr="005F4E16">
        <w:t>Positions of the Parties</w:t>
      </w:r>
      <w:bookmarkEnd w:id="98"/>
      <w:bookmarkEnd w:id="99"/>
    </w:p>
    <w:p w:rsidR="006E0381" w:rsidRDefault="006E0381" w:rsidP="006E0381">
      <w:pPr>
        <w:pStyle w:val="Heading5"/>
        <w:ind w:left="0" w:firstLine="1440"/>
        <w:rPr>
          <w:b w:val="0"/>
          <w:szCs w:val="26"/>
        </w:rPr>
      </w:pPr>
    </w:p>
    <w:p w:rsidR="006E0381" w:rsidRPr="000854A4" w:rsidRDefault="006E0381" w:rsidP="000854A4">
      <w:pPr>
        <w:spacing w:line="360" w:lineRule="auto"/>
        <w:ind w:firstLine="1440"/>
        <w:rPr>
          <w:b/>
          <w:sz w:val="26"/>
          <w:szCs w:val="26"/>
        </w:rPr>
      </w:pPr>
      <w:r w:rsidRPr="000854A4">
        <w:rPr>
          <w:sz w:val="26"/>
          <w:szCs w:val="26"/>
        </w:rPr>
        <w:t xml:space="preserve">The OCA </w:t>
      </w:r>
      <w:r w:rsidR="00356163">
        <w:rPr>
          <w:sz w:val="26"/>
          <w:szCs w:val="26"/>
        </w:rPr>
        <w:t xml:space="preserve">contends that there are gaps in the Companies’ Plans.  To fill these gaps, the OCA </w:t>
      </w:r>
      <w:r w:rsidRPr="000854A4">
        <w:rPr>
          <w:sz w:val="26"/>
          <w:szCs w:val="26"/>
        </w:rPr>
        <w:t xml:space="preserve">proposes three improvements </w:t>
      </w:r>
      <w:r w:rsidR="00356163">
        <w:rPr>
          <w:sz w:val="26"/>
          <w:szCs w:val="26"/>
        </w:rPr>
        <w:t>in the Co</w:t>
      </w:r>
      <w:r w:rsidRPr="000854A4">
        <w:rPr>
          <w:sz w:val="26"/>
          <w:szCs w:val="26"/>
        </w:rPr>
        <w:t xml:space="preserve">mmercial portion of the Plans.  The OCA asks that the Companies be directed to explore implementation of the suggested improvements during the first stakeholder meeting.  OCA MB at 31-33.  </w:t>
      </w:r>
    </w:p>
    <w:p w:rsidR="006E0381" w:rsidRPr="001844A3" w:rsidRDefault="006E0381" w:rsidP="006E0381">
      <w:pPr>
        <w:spacing w:line="360" w:lineRule="auto"/>
        <w:rPr>
          <w:sz w:val="26"/>
          <w:szCs w:val="26"/>
        </w:rPr>
      </w:pPr>
    </w:p>
    <w:p w:rsidR="0081358D" w:rsidRDefault="006E0381">
      <w:pPr>
        <w:spacing w:line="360" w:lineRule="auto"/>
        <w:rPr>
          <w:sz w:val="26"/>
          <w:szCs w:val="26"/>
        </w:rPr>
      </w:pPr>
      <w:r w:rsidRPr="001844A3">
        <w:rPr>
          <w:sz w:val="26"/>
          <w:szCs w:val="26"/>
        </w:rPr>
        <w:tab/>
      </w:r>
      <w:r>
        <w:rPr>
          <w:sz w:val="26"/>
          <w:szCs w:val="26"/>
        </w:rPr>
        <w:tab/>
        <w:t xml:space="preserve">Specifically, </w:t>
      </w:r>
      <w:r w:rsidR="0029493F">
        <w:rPr>
          <w:sz w:val="26"/>
          <w:szCs w:val="26"/>
        </w:rPr>
        <w:t xml:space="preserve">the </w:t>
      </w:r>
      <w:r w:rsidRPr="001844A3">
        <w:rPr>
          <w:sz w:val="26"/>
          <w:szCs w:val="26"/>
        </w:rPr>
        <w:t>OCA</w:t>
      </w:r>
      <w:r w:rsidR="00877C1A">
        <w:rPr>
          <w:sz w:val="26"/>
          <w:szCs w:val="26"/>
        </w:rPr>
        <w:t xml:space="preserve"> notes </w:t>
      </w:r>
      <w:r w:rsidRPr="001844A3">
        <w:rPr>
          <w:sz w:val="26"/>
          <w:szCs w:val="26"/>
        </w:rPr>
        <w:t>that the</w:t>
      </w:r>
      <w:r w:rsidR="0029493F">
        <w:rPr>
          <w:sz w:val="26"/>
          <w:szCs w:val="26"/>
        </w:rPr>
        <w:t xml:space="preserve"> Plans</w:t>
      </w:r>
      <w:r w:rsidR="00877C1A">
        <w:rPr>
          <w:sz w:val="26"/>
          <w:szCs w:val="26"/>
        </w:rPr>
        <w:t xml:space="preserve"> </w:t>
      </w:r>
      <w:r w:rsidRPr="001844A3">
        <w:rPr>
          <w:sz w:val="26"/>
          <w:szCs w:val="26"/>
        </w:rPr>
        <w:t>do not include a program for new</w:t>
      </w:r>
      <w:r w:rsidR="00356163">
        <w:rPr>
          <w:sz w:val="26"/>
          <w:szCs w:val="26"/>
        </w:rPr>
        <w:t xml:space="preserve"> commercial and industrial</w:t>
      </w:r>
      <w:r w:rsidRPr="001844A3">
        <w:rPr>
          <w:sz w:val="26"/>
          <w:szCs w:val="26"/>
        </w:rPr>
        <w:t xml:space="preserve"> construction</w:t>
      </w:r>
      <w:r w:rsidR="00877C1A">
        <w:rPr>
          <w:sz w:val="26"/>
          <w:szCs w:val="26"/>
        </w:rPr>
        <w:t>.  T</w:t>
      </w:r>
      <w:r w:rsidR="00877C1A" w:rsidRPr="001844A3">
        <w:rPr>
          <w:sz w:val="26"/>
          <w:szCs w:val="26"/>
        </w:rPr>
        <w:t>he</w:t>
      </w:r>
      <w:r w:rsidR="00877C1A">
        <w:rPr>
          <w:sz w:val="26"/>
          <w:szCs w:val="26"/>
        </w:rPr>
        <w:t xml:space="preserve"> OCA argues that such a program </w:t>
      </w:r>
      <w:r w:rsidR="00393016">
        <w:rPr>
          <w:sz w:val="26"/>
          <w:szCs w:val="26"/>
        </w:rPr>
        <w:t xml:space="preserve">might not seem to have much potential in the short term, due to the state of the economy, but </w:t>
      </w:r>
      <w:r w:rsidR="00877C1A">
        <w:rPr>
          <w:sz w:val="26"/>
          <w:szCs w:val="26"/>
        </w:rPr>
        <w:t xml:space="preserve">could give rise to “large energy savings” </w:t>
      </w:r>
      <w:r w:rsidR="00393016">
        <w:rPr>
          <w:sz w:val="26"/>
          <w:szCs w:val="26"/>
        </w:rPr>
        <w:t>if and when</w:t>
      </w:r>
      <w:r w:rsidR="00877C1A">
        <w:rPr>
          <w:sz w:val="26"/>
          <w:szCs w:val="26"/>
        </w:rPr>
        <w:t xml:space="preserve"> construction </w:t>
      </w:r>
      <w:r w:rsidR="00393016">
        <w:rPr>
          <w:sz w:val="26"/>
          <w:szCs w:val="26"/>
        </w:rPr>
        <w:t>increases during the period covered by the Plans</w:t>
      </w:r>
      <w:r w:rsidR="00877C1A">
        <w:rPr>
          <w:sz w:val="26"/>
          <w:szCs w:val="26"/>
        </w:rPr>
        <w:t xml:space="preserve">.  </w:t>
      </w:r>
      <w:r w:rsidR="00393016">
        <w:rPr>
          <w:sz w:val="26"/>
          <w:szCs w:val="26"/>
        </w:rPr>
        <w:t>OCA MB at 31.</w:t>
      </w:r>
      <w:r w:rsidR="00877C1A">
        <w:rPr>
          <w:sz w:val="26"/>
          <w:szCs w:val="26"/>
        </w:rPr>
        <w:t xml:space="preserve"> </w:t>
      </w:r>
      <w:r w:rsidR="00286976">
        <w:rPr>
          <w:sz w:val="26"/>
          <w:szCs w:val="26"/>
        </w:rPr>
        <w:t xml:space="preserve"> </w:t>
      </w:r>
    </w:p>
    <w:p w:rsidR="006E0381" w:rsidRPr="001844A3" w:rsidRDefault="006E0381" w:rsidP="006E0381">
      <w:pPr>
        <w:spacing w:line="360" w:lineRule="auto"/>
        <w:rPr>
          <w:sz w:val="26"/>
          <w:szCs w:val="26"/>
        </w:rPr>
      </w:pPr>
    </w:p>
    <w:p w:rsidR="00393016" w:rsidRDefault="006E0381" w:rsidP="006E0381">
      <w:pPr>
        <w:spacing w:line="360" w:lineRule="auto"/>
        <w:rPr>
          <w:sz w:val="26"/>
          <w:szCs w:val="26"/>
        </w:rPr>
      </w:pPr>
      <w:r w:rsidRPr="001844A3">
        <w:rPr>
          <w:sz w:val="26"/>
          <w:szCs w:val="26"/>
        </w:rPr>
        <w:tab/>
      </w:r>
      <w:r>
        <w:rPr>
          <w:sz w:val="26"/>
          <w:szCs w:val="26"/>
        </w:rPr>
        <w:tab/>
      </w:r>
      <w:r w:rsidR="00393016">
        <w:rPr>
          <w:sz w:val="26"/>
          <w:szCs w:val="26"/>
        </w:rPr>
        <w:t xml:space="preserve">Second, the OCA notes that the Plans do not </w:t>
      </w:r>
      <w:r w:rsidRPr="001844A3">
        <w:rPr>
          <w:sz w:val="26"/>
          <w:szCs w:val="26"/>
        </w:rPr>
        <w:t>includ</w:t>
      </w:r>
      <w:r w:rsidR="00393016">
        <w:rPr>
          <w:sz w:val="26"/>
          <w:szCs w:val="26"/>
        </w:rPr>
        <w:t>e</w:t>
      </w:r>
      <w:r w:rsidRPr="001844A3">
        <w:rPr>
          <w:sz w:val="26"/>
          <w:szCs w:val="26"/>
        </w:rPr>
        <w:t xml:space="preserve"> a</w:t>
      </w:r>
      <w:r w:rsidR="00393016">
        <w:rPr>
          <w:sz w:val="26"/>
          <w:szCs w:val="26"/>
        </w:rPr>
        <w:t xml:space="preserve">ny specific measure geared toward agricultural customers.  </w:t>
      </w:r>
      <w:r w:rsidR="00356163">
        <w:rPr>
          <w:sz w:val="26"/>
          <w:szCs w:val="26"/>
        </w:rPr>
        <w:t xml:space="preserve">The OCA contends that there are technologies that could reduce the amount of </w:t>
      </w:r>
      <w:r w:rsidR="00C62273">
        <w:rPr>
          <w:sz w:val="26"/>
          <w:szCs w:val="26"/>
        </w:rPr>
        <w:t xml:space="preserve">energy that EDCs provide to </w:t>
      </w:r>
      <w:r w:rsidR="00356163">
        <w:rPr>
          <w:sz w:val="26"/>
          <w:szCs w:val="26"/>
        </w:rPr>
        <w:t>farm</w:t>
      </w:r>
      <w:r w:rsidR="00C62273">
        <w:rPr>
          <w:sz w:val="26"/>
          <w:szCs w:val="26"/>
        </w:rPr>
        <w:t>s</w:t>
      </w:r>
      <w:r w:rsidR="00356163">
        <w:rPr>
          <w:sz w:val="26"/>
          <w:szCs w:val="26"/>
        </w:rPr>
        <w:t xml:space="preserve">.  “For example, energy measures such as variable speed milk transfer and pre-cooling systems are specific to the unique needs of dairy farmers.”  OCA MB at 32.  </w:t>
      </w:r>
      <w:r w:rsidR="00A44F74">
        <w:rPr>
          <w:sz w:val="26"/>
          <w:szCs w:val="26"/>
        </w:rPr>
        <w:t xml:space="preserve">The OCA argues that the rural nature of the FirstEnergy Companies’ service territory warrants a program tailored to the farm community. </w:t>
      </w:r>
      <w:r w:rsidR="00286976">
        <w:rPr>
          <w:sz w:val="26"/>
          <w:szCs w:val="26"/>
        </w:rPr>
        <w:t xml:space="preserve"> </w:t>
      </w:r>
    </w:p>
    <w:p w:rsidR="00393016" w:rsidRDefault="00393016" w:rsidP="006E0381">
      <w:pPr>
        <w:spacing w:line="360" w:lineRule="auto"/>
        <w:rPr>
          <w:sz w:val="26"/>
          <w:szCs w:val="26"/>
        </w:rPr>
      </w:pPr>
    </w:p>
    <w:p w:rsidR="0007482E" w:rsidRDefault="00A44F74">
      <w:pPr>
        <w:spacing w:line="360" w:lineRule="auto"/>
        <w:ind w:firstLine="1440"/>
        <w:rPr>
          <w:sz w:val="26"/>
          <w:szCs w:val="26"/>
        </w:rPr>
      </w:pPr>
      <w:r>
        <w:rPr>
          <w:sz w:val="26"/>
          <w:szCs w:val="26"/>
        </w:rPr>
        <w:t>Third, the OCA notes that the Plans do not include any initiatives targeted toward “high-value</w:t>
      </w:r>
      <w:r w:rsidR="006E0381" w:rsidRPr="001844A3">
        <w:rPr>
          <w:sz w:val="26"/>
          <w:szCs w:val="26"/>
        </w:rPr>
        <w:t xml:space="preserve"> market</w:t>
      </w:r>
      <w:r>
        <w:rPr>
          <w:sz w:val="26"/>
          <w:szCs w:val="26"/>
        </w:rPr>
        <w:t xml:space="preserve"> </w:t>
      </w:r>
      <w:r w:rsidR="006E0381" w:rsidRPr="001844A3">
        <w:rPr>
          <w:sz w:val="26"/>
          <w:szCs w:val="26"/>
        </w:rPr>
        <w:t>s</w:t>
      </w:r>
      <w:r>
        <w:rPr>
          <w:sz w:val="26"/>
          <w:szCs w:val="26"/>
        </w:rPr>
        <w:t>ubsets” such as supermarkets or data centers:</w:t>
      </w:r>
    </w:p>
    <w:p w:rsidR="0007482E" w:rsidRDefault="0007482E">
      <w:pPr>
        <w:spacing w:line="360" w:lineRule="auto"/>
        <w:ind w:firstLine="1440"/>
        <w:rPr>
          <w:sz w:val="26"/>
          <w:szCs w:val="26"/>
        </w:rPr>
      </w:pPr>
    </w:p>
    <w:p w:rsidR="0007482E" w:rsidRDefault="00D318D2">
      <w:pPr>
        <w:ind w:left="1440" w:right="1440"/>
        <w:rPr>
          <w:sz w:val="26"/>
          <w:szCs w:val="26"/>
        </w:rPr>
      </w:pPr>
      <w:r>
        <w:rPr>
          <w:sz w:val="26"/>
          <w:szCs w:val="26"/>
        </w:rPr>
        <w:t xml:space="preserve">For instance, a bundled package of, </w:t>
      </w:r>
      <w:r>
        <w:rPr>
          <w:i/>
          <w:sz w:val="26"/>
          <w:szCs w:val="26"/>
        </w:rPr>
        <w:t xml:space="preserve">inter alia, </w:t>
      </w:r>
      <w:r>
        <w:rPr>
          <w:sz w:val="26"/>
          <w:szCs w:val="26"/>
        </w:rPr>
        <w:t>refrigeration equipment, efficient specialty lighting fixtures, high efficiency evaporator fans, compressors and defrosting controllers for freezers could be offered to the supermarket subset.  Additionally, there a</w:t>
      </w:r>
      <w:r w:rsidR="009727EC">
        <w:rPr>
          <w:sz w:val="26"/>
          <w:szCs w:val="26"/>
        </w:rPr>
        <w:t>re considerable energy efficienc</w:t>
      </w:r>
      <w:r>
        <w:rPr>
          <w:sz w:val="26"/>
          <w:szCs w:val="26"/>
        </w:rPr>
        <w:t>y option</w:t>
      </w:r>
      <w:r w:rsidR="001C010A">
        <w:rPr>
          <w:sz w:val="26"/>
          <w:szCs w:val="26"/>
        </w:rPr>
        <w:t>s</w:t>
      </w:r>
      <w:r>
        <w:rPr>
          <w:sz w:val="26"/>
          <w:szCs w:val="26"/>
        </w:rPr>
        <w:t xml:space="preserve"> existing for data centers and servers of all sizes, including but not limited to efficient uninterruptible power supply systems, virtual desktop infrastructure that uses less energy than standard PCs and laptops, optimized HVAC systems, and reclaiming heat from larger data centers for use in preheating supply air going to other parts of the building.</w:t>
      </w:r>
    </w:p>
    <w:p w:rsidR="0007482E" w:rsidRDefault="0007482E">
      <w:pPr>
        <w:spacing w:line="360" w:lineRule="auto"/>
        <w:ind w:firstLine="1440"/>
        <w:rPr>
          <w:sz w:val="26"/>
          <w:szCs w:val="26"/>
        </w:rPr>
      </w:pPr>
    </w:p>
    <w:p w:rsidR="0081358D" w:rsidRDefault="00D318D2">
      <w:pPr>
        <w:spacing w:line="360" w:lineRule="auto"/>
        <w:rPr>
          <w:sz w:val="26"/>
          <w:szCs w:val="26"/>
        </w:rPr>
      </w:pPr>
      <w:r>
        <w:rPr>
          <w:sz w:val="26"/>
          <w:szCs w:val="26"/>
        </w:rPr>
        <w:t xml:space="preserve">OCA MB at 32.  </w:t>
      </w:r>
      <w:r w:rsidR="00921BB6">
        <w:rPr>
          <w:sz w:val="26"/>
          <w:szCs w:val="26"/>
        </w:rPr>
        <w:t xml:space="preserve">The OCA </w:t>
      </w:r>
      <w:r w:rsidR="006E0381" w:rsidRPr="001844A3">
        <w:rPr>
          <w:sz w:val="26"/>
          <w:szCs w:val="26"/>
        </w:rPr>
        <w:t xml:space="preserve">recommends that </w:t>
      </w:r>
      <w:r w:rsidR="009E3E8B">
        <w:rPr>
          <w:sz w:val="26"/>
          <w:szCs w:val="26"/>
        </w:rPr>
        <w:t xml:space="preserve">FirstEnergy </w:t>
      </w:r>
      <w:r w:rsidR="006E0381" w:rsidRPr="001844A3">
        <w:rPr>
          <w:sz w:val="26"/>
          <w:szCs w:val="26"/>
        </w:rPr>
        <w:t>add one or possibly three programs that target specific high value customer or market subsets.  OCA St. 1 at 29-31.</w:t>
      </w:r>
      <w:r w:rsidR="00286976">
        <w:rPr>
          <w:sz w:val="26"/>
          <w:szCs w:val="26"/>
        </w:rPr>
        <w:t xml:space="preserve">  </w:t>
      </w:r>
    </w:p>
    <w:p w:rsidR="006E0381" w:rsidRPr="001844A3" w:rsidRDefault="006E0381" w:rsidP="006E0381">
      <w:pPr>
        <w:rPr>
          <w:sz w:val="26"/>
          <w:szCs w:val="26"/>
        </w:rPr>
      </w:pPr>
    </w:p>
    <w:p w:rsidR="006E0381" w:rsidRDefault="006E0381" w:rsidP="006E0381">
      <w:pPr>
        <w:spacing w:line="360" w:lineRule="auto"/>
        <w:rPr>
          <w:sz w:val="26"/>
          <w:szCs w:val="26"/>
        </w:rPr>
      </w:pPr>
      <w:r w:rsidRPr="001844A3">
        <w:rPr>
          <w:sz w:val="26"/>
          <w:szCs w:val="26"/>
        </w:rPr>
        <w:tab/>
      </w:r>
      <w:r>
        <w:rPr>
          <w:sz w:val="26"/>
          <w:szCs w:val="26"/>
        </w:rPr>
        <w:tab/>
      </w:r>
      <w:r w:rsidRPr="001844A3">
        <w:rPr>
          <w:sz w:val="26"/>
          <w:szCs w:val="26"/>
        </w:rPr>
        <w:t xml:space="preserve">The Companies request that the Commission </w:t>
      </w:r>
      <w:r w:rsidR="00F969D4">
        <w:rPr>
          <w:sz w:val="26"/>
          <w:szCs w:val="26"/>
        </w:rPr>
        <w:t>reject</w:t>
      </w:r>
      <w:r w:rsidRPr="001844A3">
        <w:rPr>
          <w:sz w:val="26"/>
          <w:szCs w:val="26"/>
        </w:rPr>
        <w:t xml:space="preserve"> </w:t>
      </w:r>
      <w:r w:rsidR="00F969D4">
        <w:rPr>
          <w:sz w:val="26"/>
          <w:szCs w:val="26"/>
        </w:rPr>
        <w:t xml:space="preserve">the </w:t>
      </w:r>
      <w:r w:rsidRPr="001844A3">
        <w:rPr>
          <w:sz w:val="26"/>
          <w:szCs w:val="26"/>
        </w:rPr>
        <w:t>OCA’s</w:t>
      </w:r>
      <w:r w:rsidR="00F969D4">
        <w:rPr>
          <w:sz w:val="26"/>
          <w:szCs w:val="26"/>
        </w:rPr>
        <w:t xml:space="preserve"> </w:t>
      </w:r>
      <w:r w:rsidRPr="001844A3">
        <w:rPr>
          <w:sz w:val="26"/>
          <w:szCs w:val="26"/>
        </w:rPr>
        <w:t xml:space="preserve">proposed improvements.  In their </w:t>
      </w:r>
      <w:r w:rsidR="005843D4">
        <w:rPr>
          <w:sz w:val="26"/>
          <w:szCs w:val="26"/>
        </w:rPr>
        <w:t>R</w:t>
      </w:r>
      <w:r w:rsidRPr="001844A3">
        <w:rPr>
          <w:sz w:val="26"/>
          <w:szCs w:val="26"/>
        </w:rPr>
        <w:t xml:space="preserve">eply </w:t>
      </w:r>
      <w:r w:rsidR="005843D4">
        <w:rPr>
          <w:sz w:val="26"/>
          <w:szCs w:val="26"/>
        </w:rPr>
        <w:t>B</w:t>
      </w:r>
      <w:r w:rsidRPr="001844A3">
        <w:rPr>
          <w:sz w:val="26"/>
          <w:szCs w:val="26"/>
        </w:rPr>
        <w:t xml:space="preserve">rief, the Companies claim that </w:t>
      </w:r>
      <w:r w:rsidR="00F969D4">
        <w:rPr>
          <w:sz w:val="26"/>
          <w:szCs w:val="26"/>
        </w:rPr>
        <w:t xml:space="preserve">the </w:t>
      </w:r>
      <w:r w:rsidRPr="001844A3">
        <w:rPr>
          <w:sz w:val="26"/>
          <w:szCs w:val="26"/>
        </w:rPr>
        <w:t xml:space="preserve">OCA’s analysis of the Original Plans indicates that the suggested changes are not needed to reach </w:t>
      </w:r>
      <w:r w:rsidR="00E35D75">
        <w:rPr>
          <w:sz w:val="26"/>
          <w:szCs w:val="26"/>
        </w:rPr>
        <w:t xml:space="preserve">their </w:t>
      </w:r>
      <w:r w:rsidRPr="001844A3">
        <w:rPr>
          <w:sz w:val="26"/>
          <w:szCs w:val="26"/>
        </w:rPr>
        <w:t xml:space="preserve">Act 129 EE&amp;C targets.  The Companies also note that </w:t>
      </w:r>
      <w:r w:rsidR="006323FA">
        <w:rPr>
          <w:sz w:val="26"/>
          <w:szCs w:val="26"/>
        </w:rPr>
        <w:t xml:space="preserve">the </w:t>
      </w:r>
      <w:r w:rsidRPr="001844A3">
        <w:rPr>
          <w:sz w:val="26"/>
          <w:szCs w:val="26"/>
        </w:rPr>
        <w:t xml:space="preserve">OCA did not provide evidence that the suggestions would be cost effective under the </w:t>
      </w:r>
      <w:r w:rsidR="005640F0">
        <w:rPr>
          <w:sz w:val="26"/>
          <w:szCs w:val="26"/>
        </w:rPr>
        <w:t>TRC Test</w:t>
      </w:r>
      <w:r w:rsidRPr="001844A3">
        <w:rPr>
          <w:sz w:val="26"/>
          <w:szCs w:val="26"/>
        </w:rPr>
        <w:t xml:space="preserve"> or that the s</w:t>
      </w:r>
      <w:r w:rsidR="00F969D4">
        <w:rPr>
          <w:sz w:val="26"/>
          <w:szCs w:val="26"/>
        </w:rPr>
        <w:t xml:space="preserve">uggestions would enhance the </w:t>
      </w:r>
      <w:r w:rsidRPr="001844A3">
        <w:rPr>
          <w:sz w:val="26"/>
          <w:szCs w:val="26"/>
        </w:rPr>
        <w:t xml:space="preserve">Plans.  </w:t>
      </w:r>
      <w:r w:rsidR="00F969D4">
        <w:rPr>
          <w:sz w:val="26"/>
          <w:szCs w:val="26"/>
        </w:rPr>
        <w:t>FirstEnergy</w:t>
      </w:r>
      <w:r w:rsidRPr="001844A3">
        <w:rPr>
          <w:sz w:val="26"/>
          <w:szCs w:val="26"/>
        </w:rPr>
        <w:t xml:space="preserve"> RB at 22.  </w:t>
      </w:r>
    </w:p>
    <w:p w:rsidR="00EE7CCD" w:rsidRDefault="00EE7CCD" w:rsidP="006E0381">
      <w:pPr>
        <w:spacing w:line="360" w:lineRule="auto"/>
        <w:rPr>
          <w:sz w:val="26"/>
          <w:szCs w:val="26"/>
        </w:rPr>
      </w:pPr>
    </w:p>
    <w:p w:rsidR="00EE7CCD" w:rsidRPr="006E0381" w:rsidRDefault="00EE7CCD" w:rsidP="00EE7CCD">
      <w:pPr>
        <w:pStyle w:val="Heading5"/>
        <w:spacing w:line="240" w:lineRule="auto"/>
        <w:ind w:left="3600" w:hanging="720"/>
      </w:pPr>
      <w:bookmarkStart w:id="100" w:name="_Toc242516266"/>
      <w:bookmarkStart w:id="101" w:name="_Toc244499319"/>
      <w:r>
        <w:t xml:space="preserve">(2)  </w:t>
      </w:r>
      <w:r>
        <w:tab/>
        <w:t>Disposition</w:t>
      </w:r>
      <w:bookmarkEnd w:id="100"/>
      <w:bookmarkEnd w:id="101"/>
    </w:p>
    <w:p w:rsidR="00EE7CCD" w:rsidRDefault="00EE7CCD" w:rsidP="006E0381">
      <w:pPr>
        <w:spacing w:line="360" w:lineRule="auto"/>
        <w:rPr>
          <w:sz w:val="26"/>
          <w:szCs w:val="26"/>
        </w:rPr>
      </w:pPr>
    </w:p>
    <w:p w:rsidR="008966F0" w:rsidRPr="001844A3" w:rsidRDefault="008966F0" w:rsidP="008966F0">
      <w:pPr>
        <w:spacing w:line="360" w:lineRule="auto"/>
        <w:rPr>
          <w:sz w:val="26"/>
          <w:szCs w:val="26"/>
        </w:rPr>
      </w:pPr>
      <w:r w:rsidRPr="001844A3">
        <w:rPr>
          <w:sz w:val="26"/>
          <w:szCs w:val="26"/>
        </w:rPr>
        <w:tab/>
      </w:r>
      <w:r>
        <w:rPr>
          <w:sz w:val="26"/>
          <w:szCs w:val="26"/>
        </w:rPr>
        <w:tab/>
        <w:t xml:space="preserve">With regard to the three proposed improvements in FirstEnergy’s Commercial program, the </w:t>
      </w:r>
      <w:r w:rsidRPr="001844A3">
        <w:rPr>
          <w:sz w:val="26"/>
          <w:szCs w:val="26"/>
        </w:rPr>
        <w:t xml:space="preserve">OCA’s Main Brief </w:t>
      </w:r>
      <w:r>
        <w:rPr>
          <w:sz w:val="26"/>
          <w:szCs w:val="26"/>
        </w:rPr>
        <w:t>co</w:t>
      </w:r>
      <w:r w:rsidRPr="001844A3">
        <w:rPr>
          <w:sz w:val="26"/>
          <w:szCs w:val="26"/>
        </w:rPr>
        <w:t xml:space="preserve">ncluded “the FirstEnergy Companies should be directed to explore implementation of these programs during the first meeting of an ongoing stakeholder process”  OCA MB at 33.  </w:t>
      </w:r>
      <w:r w:rsidR="009004D4">
        <w:rPr>
          <w:sz w:val="26"/>
          <w:szCs w:val="26"/>
        </w:rPr>
        <w:t xml:space="preserve">We agree, and will require the </w:t>
      </w:r>
      <w:r w:rsidRPr="001844A3">
        <w:rPr>
          <w:sz w:val="26"/>
          <w:szCs w:val="26"/>
        </w:rPr>
        <w:t>Companies</w:t>
      </w:r>
      <w:r w:rsidR="009004D4">
        <w:rPr>
          <w:sz w:val="26"/>
          <w:szCs w:val="26"/>
        </w:rPr>
        <w:t xml:space="preserve"> </w:t>
      </w:r>
      <w:r w:rsidR="00E03C40">
        <w:rPr>
          <w:sz w:val="26"/>
          <w:szCs w:val="26"/>
        </w:rPr>
        <w:t xml:space="preserve">to </w:t>
      </w:r>
      <w:r w:rsidR="009004D4">
        <w:rPr>
          <w:sz w:val="26"/>
          <w:szCs w:val="26"/>
        </w:rPr>
        <w:t xml:space="preserve">discuss </w:t>
      </w:r>
      <w:r>
        <w:rPr>
          <w:sz w:val="26"/>
          <w:szCs w:val="26"/>
        </w:rPr>
        <w:t xml:space="preserve">the </w:t>
      </w:r>
      <w:r w:rsidRPr="001844A3">
        <w:rPr>
          <w:sz w:val="26"/>
          <w:szCs w:val="26"/>
        </w:rPr>
        <w:t>OCA</w:t>
      </w:r>
      <w:r>
        <w:rPr>
          <w:sz w:val="26"/>
          <w:szCs w:val="26"/>
        </w:rPr>
        <w:t>’s</w:t>
      </w:r>
      <w:r w:rsidRPr="001844A3">
        <w:rPr>
          <w:sz w:val="26"/>
          <w:szCs w:val="26"/>
        </w:rPr>
        <w:t xml:space="preserve"> </w:t>
      </w:r>
      <w:r w:rsidR="00E03C40">
        <w:rPr>
          <w:sz w:val="26"/>
          <w:szCs w:val="26"/>
        </w:rPr>
        <w:t xml:space="preserve">proposals </w:t>
      </w:r>
      <w:r w:rsidRPr="001844A3">
        <w:rPr>
          <w:sz w:val="26"/>
          <w:szCs w:val="26"/>
        </w:rPr>
        <w:t xml:space="preserve">during the </w:t>
      </w:r>
      <w:r w:rsidR="00965C10">
        <w:rPr>
          <w:sz w:val="26"/>
          <w:szCs w:val="26"/>
        </w:rPr>
        <w:t xml:space="preserve">on-going </w:t>
      </w:r>
      <w:r w:rsidRPr="001844A3">
        <w:rPr>
          <w:sz w:val="26"/>
          <w:szCs w:val="26"/>
        </w:rPr>
        <w:t>stakeholder process</w:t>
      </w:r>
      <w:r w:rsidR="00965C10">
        <w:rPr>
          <w:sz w:val="26"/>
          <w:szCs w:val="26"/>
        </w:rPr>
        <w:t xml:space="preserve"> (discussed below)</w:t>
      </w:r>
      <w:r w:rsidRPr="001844A3">
        <w:rPr>
          <w:sz w:val="26"/>
          <w:szCs w:val="26"/>
        </w:rPr>
        <w:t>.</w:t>
      </w:r>
      <w:r w:rsidR="00286976">
        <w:rPr>
          <w:sz w:val="26"/>
          <w:szCs w:val="26"/>
        </w:rPr>
        <w:t xml:space="preserve">  </w:t>
      </w:r>
    </w:p>
    <w:p w:rsidR="00EE7CCD" w:rsidRDefault="00EE7CCD" w:rsidP="006E0381">
      <w:pPr>
        <w:spacing w:line="360" w:lineRule="auto"/>
        <w:rPr>
          <w:sz w:val="26"/>
          <w:szCs w:val="26"/>
        </w:rPr>
      </w:pPr>
    </w:p>
    <w:p w:rsidR="004517BC" w:rsidRPr="004517BC" w:rsidRDefault="00840CEB" w:rsidP="004517BC">
      <w:pPr>
        <w:pStyle w:val="Heading4"/>
      </w:pPr>
      <w:bookmarkStart w:id="102" w:name="_Toc242516267"/>
      <w:bookmarkStart w:id="103" w:name="_Toc244499320"/>
      <w:r>
        <w:lastRenderedPageBreak/>
        <w:t>c</w:t>
      </w:r>
      <w:r w:rsidR="004517BC" w:rsidRPr="00791606">
        <w:t xml:space="preserve">.  </w:t>
      </w:r>
      <w:r w:rsidR="004517BC" w:rsidRPr="00791606">
        <w:tab/>
        <w:t>Industrial</w:t>
      </w:r>
      <w:bookmarkEnd w:id="102"/>
      <w:bookmarkEnd w:id="103"/>
    </w:p>
    <w:p w:rsidR="004517BC" w:rsidRDefault="004517BC" w:rsidP="004537DC">
      <w:pPr>
        <w:pStyle w:val="BodyText"/>
        <w:spacing w:after="0" w:line="360" w:lineRule="auto"/>
        <w:ind w:firstLine="720"/>
        <w:rPr>
          <w:sz w:val="26"/>
          <w:szCs w:val="26"/>
        </w:rPr>
      </w:pPr>
    </w:p>
    <w:p w:rsidR="00B0514F" w:rsidRPr="008E7C8E" w:rsidRDefault="00B0514F" w:rsidP="00B0514F">
      <w:pPr>
        <w:pStyle w:val="Heading5"/>
      </w:pPr>
      <w:bookmarkStart w:id="104" w:name="_Toc242516268"/>
      <w:bookmarkStart w:id="105" w:name="_Toc244499321"/>
      <w:r>
        <w:t xml:space="preserve">(1)  </w:t>
      </w:r>
      <w:r>
        <w:tab/>
      </w:r>
      <w:r w:rsidRPr="008E7C8E">
        <w:t>Positions of the Parties</w:t>
      </w:r>
      <w:bookmarkEnd w:id="104"/>
      <w:bookmarkEnd w:id="105"/>
    </w:p>
    <w:p w:rsidR="00B0514F" w:rsidRDefault="00B0514F" w:rsidP="00840CEB">
      <w:pPr>
        <w:pStyle w:val="BodyText"/>
        <w:spacing w:after="0" w:line="360" w:lineRule="auto"/>
        <w:ind w:firstLine="1440"/>
        <w:rPr>
          <w:sz w:val="26"/>
          <w:szCs w:val="26"/>
        </w:rPr>
      </w:pPr>
    </w:p>
    <w:p w:rsidR="004517BC" w:rsidRDefault="004517BC" w:rsidP="00840CEB">
      <w:pPr>
        <w:pStyle w:val="BodyText"/>
        <w:spacing w:after="0" w:line="360" w:lineRule="auto"/>
        <w:ind w:firstLine="1440"/>
        <w:rPr>
          <w:sz w:val="26"/>
          <w:szCs w:val="26"/>
        </w:rPr>
      </w:pPr>
      <w:r>
        <w:rPr>
          <w:sz w:val="26"/>
          <w:szCs w:val="26"/>
        </w:rPr>
        <w:t xml:space="preserve">FDSI submits that </w:t>
      </w:r>
      <w:r w:rsidRPr="00791606">
        <w:rPr>
          <w:sz w:val="26"/>
          <w:szCs w:val="26"/>
        </w:rPr>
        <w:t>the HVAC programs proposed by FirstEnergy would benefit from the following improvements: (1) inclu</w:t>
      </w:r>
      <w:r w:rsidR="004472E5">
        <w:rPr>
          <w:sz w:val="26"/>
          <w:szCs w:val="26"/>
        </w:rPr>
        <w:t xml:space="preserve">ding </w:t>
      </w:r>
      <w:r w:rsidRPr="00791606">
        <w:rPr>
          <w:sz w:val="26"/>
          <w:szCs w:val="26"/>
        </w:rPr>
        <w:t xml:space="preserve">a </w:t>
      </w:r>
      <w:r w:rsidRPr="00791606">
        <w:rPr>
          <w:color w:val="000000"/>
          <w:sz w:val="26"/>
          <w:szCs w:val="26"/>
        </w:rPr>
        <w:t xml:space="preserve">separate HVAC program for commercial and industrial customers, </w:t>
      </w:r>
      <w:r w:rsidR="004472E5">
        <w:rPr>
          <w:color w:val="000000"/>
          <w:sz w:val="26"/>
          <w:szCs w:val="26"/>
        </w:rPr>
        <w:t xml:space="preserve">with </w:t>
      </w:r>
      <w:r w:rsidRPr="00791606">
        <w:rPr>
          <w:color w:val="000000"/>
          <w:sz w:val="26"/>
          <w:szCs w:val="26"/>
        </w:rPr>
        <w:t xml:space="preserve">a </w:t>
      </w:r>
      <w:r w:rsidRPr="00791606">
        <w:rPr>
          <w:sz w:val="26"/>
          <w:szCs w:val="26"/>
        </w:rPr>
        <w:t xml:space="preserve">CSP or sub-CSP directly responsible for the delivery and execution of an HVAC efficiency program; (2) </w:t>
      </w:r>
      <w:r w:rsidR="004472E5">
        <w:rPr>
          <w:sz w:val="26"/>
          <w:szCs w:val="26"/>
        </w:rPr>
        <w:t xml:space="preserve">providing financial </w:t>
      </w:r>
      <w:r w:rsidRPr="00791606">
        <w:rPr>
          <w:sz w:val="26"/>
          <w:szCs w:val="26"/>
        </w:rPr>
        <w:t xml:space="preserve">incentives for HVAC-specific diagnostic testing and </w:t>
      </w:r>
      <w:r w:rsidR="004472E5">
        <w:rPr>
          <w:sz w:val="26"/>
          <w:szCs w:val="26"/>
        </w:rPr>
        <w:t xml:space="preserve">promoting reliance on </w:t>
      </w:r>
      <w:r w:rsidRPr="00791606">
        <w:rPr>
          <w:sz w:val="26"/>
          <w:szCs w:val="26"/>
        </w:rPr>
        <w:t>automated systems for diagnostics; and (3) establishing guidelines to ensure that HVAC tune-ups and other measures are performed in accordance with appropriate protocols and procedures.</w:t>
      </w:r>
      <w:r w:rsidR="00FE4BAF">
        <w:rPr>
          <w:sz w:val="26"/>
          <w:szCs w:val="26"/>
        </w:rPr>
        <w:t xml:space="preserve">  FDSI MB at </w:t>
      </w:r>
      <w:r w:rsidR="00AD390D">
        <w:rPr>
          <w:sz w:val="26"/>
          <w:szCs w:val="26"/>
        </w:rPr>
        <w:t>6-16.</w:t>
      </w:r>
      <w:r w:rsidR="00286976">
        <w:rPr>
          <w:sz w:val="26"/>
          <w:szCs w:val="26"/>
        </w:rPr>
        <w:t xml:space="preserve">  </w:t>
      </w:r>
    </w:p>
    <w:p w:rsidR="00B96FAE" w:rsidRDefault="00B96FAE" w:rsidP="00840CEB">
      <w:pPr>
        <w:pStyle w:val="BodyText"/>
        <w:spacing w:after="0" w:line="360" w:lineRule="auto"/>
        <w:rPr>
          <w:sz w:val="26"/>
          <w:szCs w:val="26"/>
        </w:rPr>
      </w:pPr>
    </w:p>
    <w:p w:rsidR="004517BC" w:rsidRPr="00791606" w:rsidRDefault="009F6246" w:rsidP="00840CEB">
      <w:pPr>
        <w:pStyle w:val="BodyText"/>
        <w:spacing w:after="0" w:line="360" w:lineRule="auto"/>
        <w:ind w:firstLine="1440"/>
        <w:rPr>
          <w:sz w:val="26"/>
          <w:szCs w:val="26"/>
        </w:rPr>
      </w:pPr>
      <w:r>
        <w:rPr>
          <w:sz w:val="26"/>
          <w:szCs w:val="26"/>
        </w:rPr>
        <w:t>The Companies expressed concern that FDSI’s proposal might increase Plan costs without improving results.  FirstEnergy MB at 28.  In addition, t</w:t>
      </w:r>
      <w:r w:rsidR="004517BC">
        <w:rPr>
          <w:sz w:val="26"/>
          <w:szCs w:val="26"/>
        </w:rPr>
        <w:t xml:space="preserve">he Companies </w:t>
      </w:r>
      <w:r w:rsidR="00B96FAE">
        <w:rPr>
          <w:sz w:val="26"/>
          <w:szCs w:val="26"/>
        </w:rPr>
        <w:t xml:space="preserve">argue </w:t>
      </w:r>
      <w:r w:rsidR="004517BC">
        <w:rPr>
          <w:sz w:val="26"/>
          <w:szCs w:val="26"/>
        </w:rPr>
        <w:t xml:space="preserve">that FDSI failed to demonstrate that its suggestions will improve the </w:t>
      </w:r>
      <w:r w:rsidR="00B96FAE">
        <w:rPr>
          <w:sz w:val="26"/>
          <w:szCs w:val="26"/>
        </w:rPr>
        <w:t xml:space="preserve">Plans’ </w:t>
      </w:r>
      <w:r w:rsidR="004517BC">
        <w:rPr>
          <w:sz w:val="26"/>
          <w:szCs w:val="26"/>
        </w:rPr>
        <w:t>results</w:t>
      </w:r>
      <w:r w:rsidR="00B96FAE">
        <w:rPr>
          <w:sz w:val="26"/>
          <w:szCs w:val="26"/>
        </w:rPr>
        <w:t>.  A</w:t>
      </w:r>
      <w:r w:rsidR="004517BC">
        <w:rPr>
          <w:sz w:val="26"/>
          <w:szCs w:val="26"/>
        </w:rPr>
        <w:t>ccordingly, the Commission has no basis on which it should adopt the suggestions.</w:t>
      </w:r>
      <w:r w:rsidR="00B96FAE">
        <w:rPr>
          <w:sz w:val="26"/>
          <w:szCs w:val="26"/>
        </w:rPr>
        <w:t xml:space="preserve">  FirstEnergy </w:t>
      </w:r>
      <w:r>
        <w:rPr>
          <w:sz w:val="26"/>
          <w:szCs w:val="26"/>
        </w:rPr>
        <w:t>RB at 23.</w:t>
      </w:r>
      <w:r w:rsidR="00286976">
        <w:rPr>
          <w:sz w:val="26"/>
          <w:szCs w:val="26"/>
        </w:rPr>
        <w:t xml:space="preserve">  </w:t>
      </w:r>
    </w:p>
    <w:p w:rsidR="00B0514F" w:rsidRDefault="00B0514F" w:rsidP="00840CEB">
      <w:pPr>
        <w:pStyle w:val="Heading5"/>
      </w:pPr>
    </w:p>
    <w:p w:rsidR="00B0514F" w:rsidRPr="008E7C8E" w:rsidRDefault="00B0514F" w:rsidP="00B0514F">
      <w:pPr>
        <w:pStyle w:val="Heading5"/>
      </w:pPr>
      <w:bookmarkStart w:id="106" w:name="_Toc242516269"/>
      <w:bookmarkStart w:id="107" w:name="_Toc244499322"/>
      <w:r>
        <w:t xml:space="preserve">(2)  </w:t>
      </w:r>
      <w:r>
        <w:tab/>
        <w:t>Disposition</w:t>
      </w:r>
      <w:bookmarkEnd w:id="106"/>
      <w:bookmarkEnd w:id="107"/>
    </w:p>
    <w:p w:rsidR="004517BC" w:rsidRDefault="004517BC" w:rsidP="00840CEB">
      <w:pPr>
        <w:spacing w:line="360" w:lineRule="auto"/>
        <w:ind w:firstLine="1440"/>
        <w:rPr>
          <w:sz w:val="26"/>
          <w:szCs w:val="26"/>
        </w:rPr>
      </w:pPr>
    </w:p>
    <w:p w:rsidR="004517BC" w:rsidRPr="00502DF4" w:rsidRDefault="002F4190" w:rsidP="00840CEB">
      <w:pPr>
        <w:spacing w:line="360" w:lineRule="auto"/>
        <w:ind w:firstLine="1440"/>
        <w:rPr>
          <w:sz w:val="26"/>
          <w:szCs w:val="26"/>
        </w:rPr>
      </w:pPr>
      <w:r>
        <w:rPr>
          <w:sz w:val="26"/>
          <w:szCs w:val="26"/>
        </w:rPr>
        <w:t xml:space="preserve">The Companies have demonstrated that their Plans comply with the TRC Test while costs remain below the cap set forth in Act 129.  FDSI, in contrast, has neither demonstrated nor quantified how its suggestions would improve the Plans put forth by the Companies.  </w:t>
      </w:r>
      <w:r w:rsidR="007455B5">
        <w:rPr>
          <w:sz w:val="26"/>
          <w:szCs w:val="26"/>
        </w:rPr>
        <w:t>FirstEnergy’s witness Fitzpatrick testified that the Companies</w:t>
      </w:r>
      <w:r w:rsidR="007059A7">
        <w:rPr>
          <w:sz w:val="26"/>
          <w:szCs w:val="26"/>
        </w:rPr>
        <w:t xml:space="preserve"> have included small commercial HVAC tune-up programs in their Plans.  </w:t>
      </w:r>
      <w:r w:rsidR="007455B5">
        <w:rPr>
          <w:sz w:val="26"/>
          <w:szCs w:val="26"/>
        </w:rPr>
        <w:t xml:space="preserve">FirstEnergy St. 2-R at 6.  </w:t>
      </w:r>
      <w:r>
        <w:rPr>
          <w:sz w:val="26"/>
          <w:szCs w:val="26"/>
        </w:rPr>
        <w:t xml:space="preserve">Our review of the Plans, however, does not find support for this statement.  We </w:t>
      </w:r>
      <w:r w:rsidR="0021628C">
        <w:rPr>
          <w:sz w:val="26"/>
          <w:szCs w:val="26"/>
        </w:rPr>
        <w:t xml:space="preserve">direct </w:t>
      </w:r>
      <w:r w:rsidR="009A395A">
        <w:rPr>
          <w:sz w:val="26"/>
          <w:szCs w:val="26"/>
        </w:rPr>
        <w:t>the Companies</w:t>
      </w:r>
      <w:r w:rsidR="00C62273">
        <w:rPr>
          <w:sz w:val="26"/>
          <w:szCs w:val="26"/>
        </w:rPr>
        <w:t xml:space="preserve"> </w:t>
      </w:r>
      <w:r w:rsidR="009A395A">
        <w:rPr>
          <w:sz w:val="26"/>
          <w:szCs w:val="26"/>
        </w:rPr>
        <w:t xml:space="preserve">to </w:t>
      </w:r>
      <w:r w:rsidR="001C010A">
        <w:rPr>
          <w:sz w:val="26"/>
          <w:szCs w:val="26"/>
        </w:rPr>
        <w:t xml:space="preserve">address this discrepancy in their revised Plans, to clearly state whether the Plans include small commercial HVAC tune-up </w:t>
      </w:r>
      <w:r w:rsidR="0021628C">
        <w:rPr>
          <w:sz w:val="26"/>
          <w:szCs w:val="26"/>
        </w:rPr>
        <w:t>programs</w:t>
      </w:r>
      <w:r w:rsidR="004517BC">
        <w:rPr>
          <w:sz w:val="26"/>
          <w:szCs w:val="26"/>
        </w:rPr>
        <w:t>.</w:t>
      </w:r>
      <w:r w:rsidR="00286976">
        <w:rPr>
          <w:sz w:val="26"/>
          <w:szCs w:val="26"/>
        </w:rPr>
        <w:t xml:space="preserve">  </w:t>
      </w:r>
    </w:p>
    <w:p w:rsidR="004177CF" w:rsidRDefault="004177CF" w:rsidP="0029321C">
      <w:pPr>
        <w:spacing w:line="360" w:lineRule="auto"/>
        <w:ind w:firstLine="1440"/>
        <w:rPr>
          <w:sz w:val="26"/>
          <w:szCs w:val="26"/>
        </w:rPr>
      </w:pPr>
    </w:p>
    <w:p w:rsidR="005B1144" w:rsidRPr="00352094" w:rsidRDefault="009B1CDC" w:rsidP="00940B59">
      <w:pPr>
        <w:pStyle w:val="Heading4"/>
      </w:pPr>
      <w:bookmarkStart w:id="108" w:name="_Toc242516270"/>
      <w:bookmarkStart w:id="109" w:name="_Toc244499323"/>
      <w:r>
        <w:t>d</w:t>
      </w:r>
      <w:r w:rsidR="00B6382E">
        <w:t xml:space="preserve">.  </w:t>
      </w:r>
      <w:r w:rsidR="006F4B78">
        <w:tab/>
      </w:r>
      <w:r>
        <w:t>Generic Issues</w:t>
      </w:r>
      <w:bookmarkEnd w:id="108"/>
      <w:bookmarkEnd w:id="109"/>
    </w:p>
    <w:p w:rsidR="005B1144" w:rsidRDefault="005B1144" w:rsidP="005B1144">
      <w:pPr>
        <w:spacing w:line="360" w:lineRule="auto"/>
        <w:ind w:firstLine="2160"/>
        <w:rPr>
          <w:sz w:val="26"/>
          <w:szCs w:val="26"/>
        </w:rPr>
      </w:pPr>
    </w:p>
    <w:p w:rsidR="00B1447D" w:rsidRPr="008E7C8E" w:rsidRDefault="00B1447D" w:rsidP="00B1447D">
      <w:pPr>
        <w:pStyle w:val="Heading5"/>
      </w:pPr>
      <w:bookmarkStart w:id="110" w:name="_Toc242516255"/>
      <w:bookmarkStart w:id="111" w:name="_Toc244499324"/>
      <w:r>
        <w:t xml:space="preserve">(1)  </w:t>
      </w:r>
      <w:r>
        <w:tab/>
        <w:t>Continuing Stakeholder Process</w:t>
      </w:r>
      <w:bookmarkEnd w:id="110"/>
      <w:bookmarkEnd w:id="111"/>
    </w:p>
    <w:p w:rsidR="00B1447D" w:rsidRDefault="00B1447D" w:rsidP="00B1447D">
      <w:pPr>
        <w:spacing w:line="360" w:lineRule="auto"/>
        <w:ind w:firstLine="2880"/>
        <w:rPr>
          <w:sz w:val="26"/>
          <w:szCs w:val="26"/>
        </w:rPr>
      </w:pPr>
    </w:p>
    <w:p w:rsidR="00B1447D" w:rsidRDefault="00B1447D" w:rsidP="00B1447D">
      <w:pPr>
        <w:pStyle w:val="Heading6"/>
      </w:pPr>
      <w:bookmarkStart w:id="112" w:name="_Toc242516256"/>
      <w:bookmarkStart w:id="113" w:name="_Toc244499325"/>
      <w:r>
        <w:t>(A)</w:t>
      </w:r>
      <w:r>
        <w:tab/>
        <w:t>Positions of the Parties</w:t>
      </w:r>
      <w:bookmarkEnd w:id="112"/>
      <w:bookmarkEnd w:id="113"/>
    </w:p>
    <w:p w:rsidR="00B1447D" w:rsidRDefault="00B1447D" w:rsidP="00B1447D">
      <w:pPr>
        <w:spacing w:line="360" w:lineRule="auto"/>
        <w:ind w:firstLine="2880"/>
        <w:rPr>
          <w:sz w:val="26"/>
          <w:szCs w:val="26"/>
        </w:rPr>
      </w:pPr>
    </w:p>
    <w:p w:rsidR="00B1447D" w:rsidRPr="000D09D2" w:rsidRDefault="00B1447D" w:rsidP="00B1447D">
      <w:pPr>
        <w:autoSpaceDE w:val="0"/>
        <w:autoSpaceDN w:val="0"/>
        <w:adjustRightInd w:val="0"/>
        <w:spacing w:line="360" w:lineRule="auto"/>
        <w:rPr>
          <w:sz w:val="26"/>
          <w:szCs w:val="26"/>
        </w:rPr>
      </w:pPr>
      <w:r w:rsidRPr="000D09D2">
        <w:rPr>
          <w:sz w:val="26"/>
          <w:szCs w:val="26"/>
        </w:rPr>
        <w:tab/>
      </w:r>
      <w:r>
        <w:rPr>
          <w:sz w:val="26"/>
          <w:szCs w:val="26"/>
        </w:rPr>
        <w:tab/>
        <w:t xml:space="preserve">As stated previously, FirstEnergy used a stakeholder process in developing its Plans.  The </w:t>
      </w:r>
      <w:r w:rsidRPr="000D09D2">
        <w:rPr>
          <w:sz w:val="26"/>
          <w:szCs w:val="26"/>
        </w:rPr>
        <w:t>OCA recommended that the Commission direct the Companies to:</w:t>
      </w:r>
    </w:p>
    <w:p w:rsidR="00B1447D" w:rsidRPr="000D09D2" w:rsidRDefault="00B1447D" w:rsidP="00B1447D">
      <w:pPr>
        <w:autoSpaceDE w:val="0"/>
        <w:autoSpaceDN w:val="0"/>
        <w:adjustRightInd w:val="0"/>
        <w:rPr>
          <w:sz w:val="26"/>
          <w:szCs w:val="26"/>
        </w:rPr>
      </w:pPr>
    </w:p>
    <w:p w:rsidR="00B1447D" w:rsidRPr="000D09D2" w:rsidRDefault="00B1447D" w:rsidP="00B1447D">
      <w:pPr>
        <w:autoSpaceDE w:val="0"/>
        <w:autoSpaceDN w:val="0"/>
        <w:adjustRightInd w:val="0"/>
        <w:ind w:left="1440" w:right="1440"/>
        <w:rPr>
          <w:rFonts w:eastAsia="Calibri"/>
          <w:sz w:val="26"/>
          <w:szCs w:val="26"/>
        </w:rPr>
      </w:pPr>
      <w:r w:rsidRPr="000D09D2">
        <w:rPr>
          <w:rFonts w:eastAsia="Calibri"/>
          <w:sz w:val="26"/>
          <w:szCs w:val="26"/>
        </w:rPr>
        <w:t xml:space="preserve">Initiate and maintain an ongoing stakeholder collaborative process to address and adaptively manage the programs to address the specific concerns identified in this proceeding and future issues that will arise as program design and implementation continues. </w:t>
      </w:r>
    </w:p>
    <w:p w:rsidR="00B1447D" w:rsidRDefault="00B1447D" w:rsidP="00B1447D">
      <w:pPr>
        <w:autoSpaceDE w:val="0"/>
        <w:autoSpaceDN w:val="0"/>
        <w:adjustRightInd w:val="0"/>
        <w:spacing w:line="360" w:lineRule="auto"/>
        <w:rPr>
          <w:rFonts w:eastAsia="Calibri"/>
          <w:sz w:val="26"/>
          <w:szCs w:val="26"/>
        </w:rPr>
      </w:pPr>
    </w:p>
    <w:p w:rsidR="00B1447D" w:rsidRPr="000D09D2" w:rsidRDefault="00B1447D" w:rsidP="00B1447D">
      <w:pPr>
        <w:autoSpaceDE w:val="0"/>
        <w:autoSpaceDN w:val="0"/>
        <w:adjustRightInd w:val="0"/>
        <w:spacing w:line="360" w:lineRule="auto"/>
        <w:rPr>
          <w:rFonts w:eastAsia="Calibri"/>
          <w:sz w:val="26"/>
          <w:szCs w:val="26"/>
        </w:rPr>
      </w:pPr>
      <w:r>
        <w:rPr>
          <w:rFonts w:eastAsia="Calibri"/>
          <w:sz w:val="26"/>
          <w:szCs w:val="26"/>
        </w:rPr>
        <w:t>OCA St.</w:t>
      </w:r>
      <w:r w:rsidRPr="000D09D2">
        <w:rPr>
          <w:rFonts w:eastAsia="Calibri"/>
          <w:sz w:val="26"/>
          <w:szCs w:val="26"/>
        </w:rPr>
        <w:t xml:space="preserve"> 1 at 4.</w:t>
      </w:r>
    </w:p>
    <w:p w:rsidR="00B1447D" w:rsidRPr="000D09D2" w:rsidRDefault="00B1447D" w:rsidP="00B1447D">
      <w:pPr>
        <w:autoSpaceDE w:val="0"/>
        <w:autoSpaceDN w:val="0"/>
        <w:adjustRightInd w:val="0"/>
        <w:rPr>
          <w:rFonts w:eastAsia="Calibri"/>
          <w:sz w:val="26"/>
          <w:szCs w:val="26"/>
        </w:rPr>
      </w:pPr>
    </w:p>
    <w:p w:rsidR="00B1447D" w:rsidRPr="000D09D2" w:rsidRDefault="00B1447D" w:rsidP="00B1447D">
      <w:pPr>
        <w:autoSpaceDE w:val="0"/>
        <w:autoSpaceDN w:val="0"/>
        <w:adjustRightInd w:val="0"/>
        <w:spacing w:line="360" w:lineRule="auto"/>
        <w:rPr>
          <w:rFonts w:eastAsia="Calibri"/>
          <w:sz w:val="26"/>
          <w:szCs w:val="26"/>
        </w:rPr>
      </w:pPr>
      <w:r w:rsidRPr="000D09D2">
        <w:rPr>
          <w:rFonts w:eastAsia="Calibri"/>
          <w:sz w:val="26"/>
          <w:szCs w:val="26"/>
        </w:rPr>
        <w:tab/>
      </w:r>
      <w:r>
        <w:rPr>
          <w:rFonts w:eastAsia="Calibri"/>
          <w:sz w:val="26"/>
          <w:szCs w:val="26"/>
        </w:rPr>
        <w:tab/>
        <w:t xml:space="preserve">The </w:t>
      </w:r>
      <w:r w:rsidRPr="000D09D2">
        <w:rPr>
          <w:rFonts w:eastAsia="Calibri"/>
          <w:sz w:val="26"/>
          <w:szCs w:val="26"/>
        </w:rPr>
        <w:t xml:space="preserve">DEP comments that “active participation by stakeholders and oversight by the Commission will be necessary to ensure high quality performance of the </w:t>
      </w:r>
      <w:r>
        <w:rPr>
          <w:rFonts w:eastAsia="Calibri"/>
          <w:sz w:val="26"/>
          <w:szCs w:val="26"/>
        </w:rPr>
        <w:t>[</w:t>
      </w:r>
      <w:r w:rsidRPr="000D09D2">
        <w:rPr>
          <w:rFonts w:eastAsia="Calibri"/>
          <w:sz w:val="26"/>
          <w:szCs w:val="26"/>
        </w:rPr>
        <w:t>EE</w:t>
      </w:r>
      <w:r>
        <w:rPr>
          <w:rFonts w:eastAsia="Calibri"/>
          <w:sz w:val="26"/>
          <w:szCs w:val="26"/>
        </w:rPr>
        <w:t>&amp;</w:t>
      </w:r>
      <w:r w:rsidRPr="000D09D2">
        <w:rPr>
          <w:rFonts w:eastAsia="Calibri"/>
          <w:sz w:val="26"/>
          <w:szCs w:val="26"/>
        </w:rPr>
        <w:t>C</w:t>
      </w:r>
      <w:r>
        <w:rPr>
          <w:rFonts w:eastAsia="Calibri"/>
          <w:sz w:val="26"/>
          <w:szCs w:val="26"/>
        </w:rPr>
        <w:t>]</w:t>
      </w:r>
      <w:r w:rsidRPr="000D09D2">
        <w:rPr>
          <w:rFonts w:eastAsia="Calibri"/>
          <w:sz w:val="26"/>
          <w:szCs w:val="26"/>
        </w:rPr>
        <w:t xml:space="preserve"> Plan” and further states “to accomplish this goal, </w:t>
      </w:r>
      <w:r>
        <w:rPr>
          <w:rFonts w:eastAsia="Calibri"/>
          <w:sz w:val="26"/>
          <w:szCs w:val="26"/>
        </w:rPr>
        <w:t>[</w:t>
      </w:r>
      <w:r w:rsidRPr="000D09D2">
        <w:rPr>
          <w:rFonts w:eastAsia="Calibri"/>
          <w:sz w:val="26"/>
          <w:szCs w:val="26"/>
        </w:rPr>
        <w:t>FirstEnergy’s EE</w:t>
      </w:r>
      <w:r>
        <w:rPr>
          <w:rFonts w:eastAsia="Calibri"/>
          <w:sz w:val="26"/>
          <w:szCs w:val="26"/>
        </w:rPr>
        <w:t>&amp;</w:t>
      </w:r>
      <w:r w:rsidRPr="000D09D2">
        <w:rPr>
          <w:rFonts w:eastAsia="Calibri"/>
          <w:sz w:val="26"/>
          <w:szCs w:val="26"/>
        </w:rPr>
        <w:t>C</w:t>
      </w:r>
      <w:r>
        <w:rPr>
          <w:rFonts w:eastAsia="Calibri"/>
          <w:sz w:val="26"/>
          <w:szCs w:val="26"/>
        </w:rPr>
        <w:t>]</w:t>
      </w:r>
      <w:r w:rsidRPr="000D09D2">
        <w:rPr>
          <w:rFonts w:eastAsia="Calibri"/>
          <w:sz w:val="26"/>
          <w:szCs w:val="26"/>
        </w:rPr>
        <w:t xml:space="preserve"> Plan should contain a clearly defined stakeholder involvement process.”  DEP MB at 12.</w:t>
      </w:r>
    </w:p>
    <w:p w:rsidR="00B1447D" w:rsidRPr="000D09D2" w:rsidRDefault="00B1447D" w:rsidP="00B1447D">
      <w:pPr>
        <w:autoSpaceDE w:val="0"/>
        <w:autoSpaceDN w:val="0"/>
        <w:adjustRightInd w:val="0"/>
        <w:spacing w:line="360" w:lineRule="auto"/>
        <w:rPr>
          <w:rFonts w:eastAsia="Calibri"/>
          <w:sz w:val="26"/>
          <w:szCs w:val="26"/>
        </w:rPr>
      </w:pPr>
    </w:p>
    <w:p w:rsidR="00B1447D" w:rsidRPr="000D09D2" w:rsidRDefault="00B1447D" w:rsidP="00B1447D">
      <w:pPr>
        <w:autoSpaceDE w:val="0"/>
        <w:autoSpaceDN w:val="0"/>
        <w:adjustRightInd w:val="0"/>
        <w:spacing w:line="360" w:lineRule="auto"/>
        <w:ind w:firstLine="1440"/>
        <w:rPr>
          <w:rFonts w:eastAsia="Calibri"/>
          <w:sz w:val="26"/>
          <w:szCs w:val="26"/>
        </w:rPr>
      </w:pPr>
      <w:r>
        <w:rPr>
          <w:rFonts w:eastAsia="Calibri"/>
          <w:sz w:val="26"/>
          <w:szCs w:val="26"/>
        </w:rPr>
        <w:t xml:space="preserve">The </w:t>
      </w:r>
      <w:r w:rsidRPr="000D09D2">
        <w:rPr>
          <w:rFonts w:eastAsia="Calibri"/>
          <w:sz w:val="26"/>
          <w:szCs w:val="26"/>
        </w:rPr>
        <w:t>DEP</w:t>
      </w:r>
      <w:r>
        <w:rPr>
          <w:rFonts w:eastAsia="Calibri"/>
          <w:sz w:val="26"/>
          <w:szCs w:val="26"/>
        </w:rPr>
        <w:t>’s</w:t>
      </w:r>
      <w:r w:rsidRPr="000D09D2">
        <w:rPr>
          <w:rFonts w:eastAsia="Calibri"/>
          <w:sz w:val="26"/>
          <w:szCs w:val="26"/>
        </w:rPr>
        <w:t xml:space="preserve"> witness Guttman testified:</w:t>
      </w:r>
    </w:p>
    <w:p w:rsidR="00B1447D" w:rsidRDefault="00B1447D" w:rsidP="00B1447D">
      <w:pPr>
        <w:autoSpaceDE w:val="0"/>
        <w:autoSpaceDN w:val="0"/>
        <w:adjustRightInd w:val="0"/>
        <w:ind w:left="1440" w:right="1440"/>
        <w:rPr>
          <w:sz w:val="26"/>
          <w:szCs w:val="26"/>
        </w:rPr>
      </w:pPr>
    </w:p>
    <w:p w:rsidR="00B1447D" w:rsidRDefault="00B1447D" w:rsidP="00B1447D">
      <w:pPr>
        <w:autoSpaceDE w:val="0"/>
        <w:autoSpaceDN w:val="0"/>
        <w:adjustRightInd w:val="0"/>
        <w:ind w:left="1440" w:right="1440"/>
        <w:rPr>
          <w:sz w:val="26"/>
          <w:szCs w:val="26"/>
        </w:rPr>
      </w:pPr>
      <w:r w:rsidRPr="000D09D2">
        <w:rPr>
          <w:sz w:val="26"/>
          <w:szCs w:val="26"/>
        </w:rPr>
        <w:t xml:space="preserve">Yes, the Department strongly encourages the EDCs to continue to involve the Stakeholders groups, particularly in the first 2 years of program implementation.  The EDCs should provide monthly reports to the Stakeholders, including (but not limited to) performance assessments, program implementation status, CSP contract status, and any program modifications being considered.  The Stakeholders should have the opportunity to review and provide comment on all </w:t>
      </w:r>
      <w:r w:rsidRPr="000D09D2">
        <w:rPr>
          <w:sz w:val="26"/>
          <w:szCs w:val="26"/>
        </w:rPr>
        <w:lastRenderedPageBreak/>
        <w:t xml:space="preserve">aspects of the </w:t>
      </w:r>
      <w:smartTag w:uri="urn:schemas-microsoft-com:office:smarttags" w:element="stockticker">
        <w:r w:rsidRPr="000D09D2">
          <w:rPr>
            <w:sz w:val="26"/>
            <w:szCs w:val="26"/>
          </w:rPr>
          <w:t>EEC</w:t>
        </w:r>
      </w:smartTag>
      <w:r w:rsidRPr="000D09D2">
        <w:rPr>
          <w:sz w:val="26"/>
          <w:szCs w:val="26"/>
        </w:rPr>
        <w:t xml:space="preserve"> program, and the EDCs should be required to consider said</w:t>
      </w:r>
      <w:r w:rsidR="00286976">
        <w:rPr>
          <w:sz w:val="26"/>
          <w:szCs w:val="26"/>
        </w:rPr>
        <w:t xml:space="preserve"> comments and recommendations.</w:t>
      </w:r>
    </w:p>
    <w:p w:rsidR="00286976" w:rsidRDefault="00286976" w:rsidP="00B1447D">
      <w:pPr>
        <w:autoSpaceDE w:val="0"/>
        <w:autoSpaceDN w:val="0"/>
        <w:adjustRightInd w:val="0"/>
        <w:ind w:left="1440" w:right="1440"/>
        <w:rPr>
          <w:sz w:val="26"/>
          <w:szCs w:val="26"/>
        </w:rPr>
      </w:pPr>
    </w:p>
    <w:p w:rsidR="00D23F43" w:rsidRPr="000D09D2" w:rsidRDefault="00D23F43" w:rsidP="00B1447D">
      <w:pPr>
        <w:autoSpaceDE w:val="0"/>
        <w:autoSpaceDN w:val="0"/>
        <w:adjustRightInd w:val="0"/>
        <w:ind w:left="1440" w:right="1440"/>
        <w:rPr>
          <w:sz w:val="26"/>
          <w:szCs w:val="26"/>
        </w:rPr>
      </w:pPr>
    </w:p>
    <w:p w:rsidR="00B1447D" w:rsidRDefault="00B1447D" w:rsidP="00B1447D">
      <w:pPr>
        <w:autoSpaceDE w:val="0"/>
        <w:autoSpaceDN w:val="0"/>
        <w:adjustRightInd w:val="0"/>
        <w:spacing w:line="360" w:lineRule="auto"/>
        <w:rPr>
          <w:rFonts w:eastAsia="Calibri"/>
          <w:sz w:val="26"/>
          <w:szCs w:val="26"/>
        </w:rPr>
      </w:pPr>
      <w:r>
        <w:rPr>
          <w:rFonts w:eastAsia="Calibri"/>
          <w:sz w:val="26"/>
          <w:szCs w:val="26"/>
        </w:rPr>
        <w:t>DEP St.</w:t>
      </w:r>
      <w:r w:rsidRPr="000D09D2">
        <w:rPr>
          <w:rFonts w:eastAsia="Calibri"/>
          <w:sz w:val="26"/>
          <w:szCs w:val="26"/>
        </w:rPr>
        <w:t xml:space="preserve"> 1 at 30</w:t>
      </w:r>
      <w:r>
        <w:rPr>
          <w:rFonts w:eastAsia="Calibri"/>
          <w:sz w:val="26"/>
          <w:szCs w:val="26"/>
        </w:rPr>
        <w:t>.</w:t>
      </w:r>
    </w:p>
    <w:p w:rsidR="00B1447D" w:rsidRDefault="00B1447D" w:rsidP="00B1447D">
      <w:pPr>
        <w:autoSpaceDE w:val="0"/>
        <w:autoSpaceDN w:val="0"/>
        <w:adjustRightInd w:val="0"/>
        <w:spacing w:line="360" w:lineRule="auto"/>
        <w:rPr>
          <w:rFonts w:eastAsia="Calibri"/>
          <w:sz w:val="26"/>
          <w:szCs w:val="26"/>
        </w:rPr>
      </w:pPr>
    </w:p>
    <w:p w:rsidR="0007482E" w:rsidRDefault="00444427">
      <w:pPr>
        <w:spacing w:line="360" w:lineRule="auto"/>
        <w:ind w:firstLine="1440"/>
        <w:rPr>
          <w:sz w:val="26"/>
          <w:szCs w:val="26"/>
        </w:rPr>
      </w:pPr>
      <w:r>
        <w:rPr>
          <w:sz w:val="26"/>
          <w:szCs w:val="26"/>
        </w:rPr>
        <w:t>The OCA argues that the stakeholder process should include a broad array of participants, including but not limited to local governments, chambers of commerce and environmental advocates.  According to the OCA:</w:t>
      </w:r>
    </w:p>
    <w:p w:rsidR="0007482E" w:rsidRDefault="0007482E">
      <w:pPr>
        <w:spacing w:line="360" w:lineRule="auto"/>
        <w:ind w:firstLine="1440"/>
        <w:rPr>
          <w:sz w:val="26"/>
          <w:szCs w:val="26"/>
        </w:rPr>
      </w:pPr>
    </w:p>
    <w:p w:rsidR="0007482E" w:rsidRDefault="00444427">
      <w:pPr>
        <w:ind w:left="1440" w:right="1440"/>
        <w:rPr>
          <w:sz w:val="26"/>
          <w:szCs w:val="26"/>
        </w:rPr>
      </w:pPr>
      <w:r>
        <w:rPr>
          <w:sz w:val="26"/>
          <w:szCs w:val="26"/>
        </w:rPr>
        <w:t>Additional stakeholders will provide additional resources and information to assist the Companies in meeting the requirements of Act 129.  Also, the more stakeholders involved in the processes, the more voices there will be to reach customers and encourage their participation in the Companies’ programs.</w:t>
      </w:r>
    </w:p>
    <w:p w:rsidR="00444427" w:rsidRDefault="00444427" w:rsidP="00B1447D">
      <w:pPr>
        <w:spacing w:line="360" w:lineRule="auto"/>
        <w:ind w:left="720" w:firstLine="720"/>
        <w:rPr>
          <w:sz w:val="26"/>
          <w:szCs w:val="26"/>
        </w:rPr>
      </w:pPr>
    </w:p>
    <w:p w:rsidR="0007482E" w:rsidRDefault="00A910F0">
      <w:pPr>
        <w:spacing w:line="360" w:lineRule="auto"/>
        <w:rPr>
          <w:sz w:val="26"/>
          <w:szCs w:val="26"/>
        </w:rPr>
      </w:pPr>
      <w:r>
        <w:rPr>
          <w:sz w:val="26"/>
          <w:szCs w:val="26"/>
        </w:rPr>
        <w:t>OCA MB at 44.</w:t>
      </w:r>
      <w:r>
        <w:rPr>
          <w:sz w:val="26"/>
          <w:szCs w:val="26"/>
        </w:rPr>
        <w:tab/>
      </w:r>
    </w:p>
    <w:p w:rsidR="00444427" w:rsidRDefault="00444427" w:rsidP="00B1447D">
      <w:pPr>
        <w:spacing w:line="360" w:lineRule="auto"/>
        <w:ind w:left="720" w:firstLine="720"/>
        <w:rPr>
          <w:sz w:val="26"/>
          <w:szCs w:val="26"/>
        </w:rPr>
      </w:pPr>
    </w:p>
    <w:p w:rsidR="0007482E" w:rsidRDefault="00B1447D">
      <w:pPr>
        <w:spacing w:line="360" w:lineRule="auto"/>
        <w:ind w:firstLine="1440"/>
        <w:rPr>
          <w:sz w:val="26"/>
          <w:szCs w:val="26"/>
        </w:rPr>
      </w:pPr>
      <w:r w:rsidRPr="000D09D2">
        <w:rPr>
          <w:sz w:val="26"/>
          <w:szCs w:val="26"/>
        </w:rPr>
        <w:t>The Companies</w:t>
      </w:r>
      <w:r>
        <w:rPr>
          <w:sz w:val="26"/>
          <w:szCs w:val="26"/>
        </w:rPr>
        <w:t>’</w:t>
      </w:r>
      <w:r w:rsidRPr="000D09D2">
        <w:rPr>
          <w:sz w:val="26"/>
          <w:szCs w:val="26"/>
        </w:rPr>
        <w:t xml:space="preserve"> witness Fitzpatrick testified</w:t>
      </w:r>
      <w:r w:rsidR="00A910F0">
        <w:rPr>
          <w:sz w:val="26"/>
          <w:szCs w:val="26"/>
        </w:rPr>
        <w:t xml:space="preserve"> “</w:t>
      </w:r>
      <w:r w:rsidRPr="000D09D2">
        <w:rPr>
          <w:sz w:val="26"/>
          <w:szCs w:val="26"/>
        </w:rPr>
        <w:t xml:space="preserve">Both the Companies and I believe that </w:t>
      </w:r>
      <w:r w:rsidR="00A910F0">
        <w:rPr>
          <w:sz w:val="26"/>
          <w:szCs w:val="26"/>
        </w:rPr>
        <w:t>[the stakeholder]</w:t>
      </w:r>
      <w:r w:rsidRPr="000D09D2">
        <w:rPr>
          <w:sz w:val="26"/>
          <w:szCs w:val="26"/>
        </w:rPr>
        <w:t xml:space="preserve"> process should continue, perhaps with quarterly meetings held among the Companies and the parties to these proceedings.</w:t>
      </w:r>
      <w:r w:rsidR="00A910F0">
        <w:rPr>
          <w:sz w:val="26"/>
          <w:szCs w:val="26"/>
        </w:rPr>
        <w:t xml:space="preserve">”  </w:t>
      </w:r>
      <w:r w:rsidR="007D314C">
        <w:rPr>
          <w:sz w:val="26"/>
          <w:szCs w:val="26"/>
        </w:rPr>
        <w:t>FirstEnergy</w:t>
      </w:r>
      <w:r>
        <w:rPr>
          <w:sz w:val="26"/>
          <w:szCs w:val="26"/>
        </w:rPr>
        <w:t>’s</w:t>
      </w:r>
      <w:r w:rsidRPr="000D09D2">
        <w:rPr>
          <w:sz w:val="26"/>
          <w:szCs w:val="26"/>
        </w:rPr>
        <w:t xml:space="preserve"> St. 2-R at 5.</w:t>
      </w:r>
      <w:r w:rsidR="00751C0F">
        <w:rPr>
          <w:sz w:val="26"/>
          <w:szCs w:val="26"/>
        </w:rPr>
        <w:t xml:space="preserve">  FirstEnergy, however, contends that the stakeholder process should be limited to the </w:t>
      </w:r>
      <w:r w:rsidR="005843D4">
        <w:rPr>
          <w:sz w:val="26"/>
          <w:szCs w:val="26"/>
        </w:rPr>
        <w:t>Companies and the P</w:t>
      </w:r>
      <w:r w:rsidR="00E26AD1">
        <w:rPr>
          <w:sz w:val="26"/>
          <w:szCs w:val="26"/>
        </w:rPr>
        <w:t>arties to this proceeding</w:t>
      </w:r>
      <w:r w:rsidR="00BB6B4F">
        <w:rPr>
          <w:sz w:val="26"/>
          <w:szCs w:val="26"/>
        </w:rPr>
        <w:t>, primarily because t</w:t>
      </w:r>
      <w:r w:rsidR="00E26AD1">
        <w:rPr>
          <w:sz w:val="26"/>
          <w:szCs w:val="26"/>
        </w:rPr>
        <w:t xml:space="preserve">his would provide </w:t>
      </w:r>
      <w:r w:rsidR="00BB6B4F">
        <w:rPr>
          <w:sz w:val="26"/>
          <w:szCs w:val="26"/>
        </w:rPr>
        <w:t xml:space="preserve">“reasonable assurance that confidential information exchanged in future stakeholder meetings will continue to be protected under the Commission’s Protective Order in this proceeding.”  FirstEnergy’s MB at 27. </w:t>
      </w:r>
    </w:p>
    <w:p w:rsidR="00B1447D" w:rsidRPr="000D09D2" w:rsidRDefault="00B1447D" w:rsidP="00B1447D">
      <w:pPr>
        <w:spacing w:line="360" w:lineRule="auto"/>
        <w:rPr>
          <w:sz w:val="26"/>
          <w:szCs w:val="26"/>
        </w:rPr>
      </w:pPr>
      <w:r>
        <w:rPr>
          <w:sz w:val="26"/>
          <w:szCs w:val="26"/>
        </w:rPr>
        <w:t xml:space="preserve"> </w:t>
      </w:r>
    </w:p>
    <w:p w:rsidR="00B1447D" w:rsidRPr="008E7C8E" w:rsidRDefault="00B1447D" w:rsidP="00B1447D">
      <w:pPr>
        <w:pStyle w:val="Heading6"/>
      </w:pPr>
      <w:bookmarkStart w:id="114" w:name="_Toc242516257"/>
      <w:bookmarkStart w:id="115" w:name="_Toc244499326"/>
      <w:r>
        <w:t xml:space="preserve">(B)  </w:t>
      </w:r>
      <w:r>
        <w:tab/>
      </w:r>
      <w:r w:rsidRPr="008E7C8E">
        <w:t>Disposition</w:t>
      </w:r>
      <w:bookmarkEnd w:id="114"/>
      <w:bookmarkEnd w:id="115"/>
    </w:p>
    <w:p w:rsidR="00B1447D" w:rsidRDefault="00B1447D" w:rsidP="00B1447D">
      <w:pPr>
        <w:spacing w:line="360" w:lineRule="auto"/>
        <w:ind w:firstLine="1440"/>
        <w:rPr>
          <w:sz w:val="26"/>
          <w:szCs w:val="26"/>
        </w:rPr>
      </w:pPr>
    </w:p>
    <w:p w:rsidR="00B1447D" w:rsidRPr="009C1190" w:rsidRDefault="00B1447D" w:rsidP="00B1447D">
      <w:pPr>
        <w:spacing w:line="360" w:lineRule="auto"/>
        <w:ind w:firstLine="1440"/>
        <w:rPr>
          <w:sz w:val="26"/>
          <w:szCs w:val="26"/>
        </w:rPr>
      </w:pPr>
      <w:r w:rsidRPr="009C1190">
        <w:rPr>
          <w:sz w:val="26"/>
          <w:szCs w:val="26"/>
        </w:rPr>
        <w:t>In the</w:t>
      </w:r>
      <w:r>
        <w:rPr>
          <w:sz w:val="26"/>
          <w:szCs w:val="26"/>
        </w:rPr>
        <w:t>ir</w:t>
      </w:r>
      <w:r w:rsidRPr="009C1190">
        <w:rPr>
          <w:sz w:val="26"/>
          <w:szCs w:val="26"/>
        </w:rPr>
        <w:t xml:space="preserve"> Main Brief</w:t>
      </w:r>
      <w:r>
        <w:rPr>
          <w:sz w:val="26"/>
          <w:szCs w:val="26"/>
        </w:rPr>
        <w:t>,</w:t>
      </w:r>
      <w:r w:rsidRPr="009C1190">
        <w:rPr>
          <w:sz w:val="26"/>
          <w:szCs w:val="26"/>
        </w:rPr>
        <w:t xml:space="preserve"> the</w:t>
      </w:r>
      <w:r>
        <w:rPr>
          <w:sz w:val="26"/>
          <w:szCs w:val="26"/>
        </w:rPr>
        <w:t xml:space="preserve"> Companies</w:t>
      </w:r>
      <w:r w:rsidRPr="009C1190">
        <w:rPr>
          <w:sz w:val="26"/>
          <w:szCs w:val="26"/>
        </w:rPr>
        <w:t xml:space="preserve"> indicate </w:t>
      </w:r>
      <w:r>
        <w:rPr>
          <w:sz w:val="26"/>
          <w:szCs w:val="26"/>
        </w:rPr>
        <w:t xml:space="preserve">their </w:t>
      </w:r>
      <w:r w:rsidRPr="009C1190">
        <w:rPr>
          <w:sz w:val="26"/>
          <w:szCs w:val="26"/>
        </w:rPr>
        <w:t xml:space="preserve">agreement in principle to formalizing their commitment to an ongoing stakeholder process.  The Companies </w:t>
      </w:r>
      <w:r>
        <w:rPr>
          <w:sz w:val="26"/>
          <w:szCs w:val="26"/>
        </w:rPr>
        <w:t xml:space="preserve">there </w:t>
      </w:r>
      <w:r w:rsidRPr="009C1190">
        <w:rPr>
          <w:sz w:val="26"/>
          <w:szCs w:val="26"/>
        </w:rPr>
        <w:lastRenderedPageBreak/>
        <w:t xml:space="preserve">state that stakeholder meetings should be held quarterly and </w:t>
      </w:r>
      <w:r>
        <w:rPr>
          <w:sz w:val="26"/>
          <w:szCs w:val="26"/>
        </w:rPr>
        <w:t xml:space="preserve">should </w:t>
      </w:r>
      <w:r w:rsidRPr="009C1190">
        <w:rPr>
          <w:sz w:val="26"/>
          <w:szCs w:val="26"/>
        </w:rPr>
        <w:t xml:space="preserve">be limited to the Companies and the </w:t>
      </w:r>
      <w:r w:rsidR="000212DB">
        <w:rPr>
          <w:sz w:val="26"/>
          <w:szCs w:val="26"/>
        </w:rPr>
        <w:t>Parties</w:t>
      </w:r>
      <w:r w:rsidRPr="009C1190">
        <w:rPr>
          <w:sz w:val="26"/>
          <w:szCs w:val="26"/>
        </w:rPr>
        <w:t xml:space="preserve"> to these proceedings.  </w:t>
      </w:r>
      <w:r>
        <w:rPr>
          <w:sz w:val="26"/>
          <w:szCs w:val="26"/>
        </w:rPr>
        <w:t>FirstEnergy</w:t>
      </w:r>
      <w:r w:rsidRPr="009C1190">
        <w:rPr>
          <w:sz w:val="26"/>
          <w:szCs w:val="26"/>
        </w:rPr>
        <w:t xml:space="preserve"> MB at 27.  </w:t>
      </w:r>
      <w:r>
        <w:rPr>
          <w:sz w:val="26"/>
          <w:szCs w:val="26"/>
        </w:rPr>
        <w:t>In their Reply Brief, t</w:t>
      </w:r>
      <w:r w:rsidRPr="009C1190">
        <w:rPr>
          <w:sz w:val="26"/>
          <w:szCs w:val="26"/>
        </w:rPr>
        <w:t>he Companies further emphasized their commitment to quarterly meetings</w:t>
      </w:r>
      <w:r>
        <w:rPr>
          <w:sz w:val="26"/>
          <w:szCs w:val="26"/>
        </w:rPr>
        <w:t xml:space="preserve">.  The Companies there </w:t>
      </w:r>
      <w:r w:rsidRPr="009C1190">
        <w:rPr>
          <w:sz w:val="26"/>
          <w:szCs w:val="26"/>
        </w:rPr>
        <w:t xml:space="preserve">state “the Companies have every intention of meeting quarterly with the parties to this proceeding to discuss the status of programs, potential changes to those programs, and potential new programs, </w:t>
      </w:r>
      <w:r w:rsidR="0000701D">
        <w:rPr>
          <w:sz w:val="26"/>
          <w:szCs w:val="26"/>
        </w:rPr>
        <w:t xml:space="preserve">[consequently,] </w:t>
      </w:r>
      <w:r w:rsidRPr="009C1190">
        <w:rPr>
          <w:sz w:val="26"/>
          <w:szCs w:val="26"/>
        </w:rPr>
        <w:t xml:space="preserve">the Commission should allow the Revised Plans to be implemented as filed.”  </w:t>
      </w:r>
      <w:r>
        <w:rPr>
          <w:sz w:val="26"/>
          <w:szCs w:val="26"/>
        </w:rPr>
        <w:t>FirstEnergy</w:t>
      </w:r>
      <w:r w:rsidRPr="009C1190">
        <w:rPr>
          <w:sz w:val="26"/>
          <w:szCs w:val="26"/>
        </w:rPr>
        <w:t xml:space="preserve"> RB at 24. </w:t>
      </w:r>
    </w:p>
    <w:p w:rsidR="00B1447D" w:rsidRPr="009C1190" w:rsidRDefault="00B1447D" w:rsidP="00B1447D">
      <w:pPr>
        <w:spacing w:line="360" w:lineRule="auto"/>
        <w:ind w:firstLine="720"/>
        <w:rPr>
          <w:sz w:val="26"/>
          <w:szCs w:val="26"/>
        </w:rPr>
      </w:pPr>
    </w:p>
    <w:p w:rsidR="00182713" w:rsidRDefault="00B1447D" w:rsidP="00B1447D">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9C1190">
        <w:rPr>
          <w:sz w:val="26"/>
          <w:szCs w:val="26"/>
        </w:rPr>
        <w:tab/>
      </w:r>
      <w:r w:rsidRPr="009C1190">
        <w:rPr>
          <w:sz w:val="26"/>
          <w:szCs w:val="26"/>
        </w:rPr>
        <w:tab/>
      </w:r>
      <w:r>
        <w:rPr>
          <w:sz w:val="26"/>
          <w:szCs w:val="26"/>
        </w:rPr>
        <w:tab/>
      </w:r>
      <w:r w:rsidRPr="009C1190">
        <w:rPr>
          <w:sz w:val="26"/>
          <w:szCs w:val="26"/>
        </w:rPr>
        <w:t>Using a collaborative process during the development of the Pla</w:t>
      </w:r>
      <w:r w:rsidR="005843D4">
        <w:rPr>
          <w:sz w:val="26"/>
          <w:szCs w:val="26"/>
        </w:rPr>
        <w:t>n was beneficial for the Companies</w:t>
      </w:r>
      <w:r w:rsidRPr="009C1190">
        <w:rPr>
          <w:sz w:val="26"/>
          <w:szCs w:val="26"/>
        </w:rPr>
        <w:t xml:space="preserve"> and other interested parties.  Similarly, we believe the use of a collaborative process during the implementation of the Plan will be beneficial for expeditiously identifying and resolving issues that arise during the period covered by the Plan.  </w:t>
      </w:r>
      <w:r w:rsidR="00B94BD1">
        <w:rPr>
          <w:sz w:val="26"/>
          <w:szCs w:val="26"/>
        </w:rPr>
        <w:t>For these reasons, we find merit in the recommendation for an on-going stakeholder process</w:t>
      </w:r>
      <w:r w:rsidR="00182713">
        <w:rPr>
          <w:sz w:val="26"/>
          <w:szCs w:val="26"/>
        </w:rPr>
        <w:t>.</w:t>
      </w:r>
    </w:p>
    <w:p w:rsidR="00182713" w:rsidRDefault="00182713" w:rsidP="00B1447D">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07482E" w:rsidRDefault="00182713">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 xml:space="preserve">We reject FirstEnergy’s argument that this process should be restricted to the Parties to this proceeding.  We find merit in the </w:t>
      </w:r>
      <w:r w:rsidR="00B94BD1">
        <w:rPr>
          <w:sz w:val="26"/>
          <w:szCs w:val="26"/>
        </w:rPr>
        <w:t>OCA</w:t>
      </w:r>
      <w:r>
        <w:rPr>
          <w:sz w:val="26"/>
          <w:szCs w:val="26"/>
        </w:rPr>
        <w:t xml:space="preserve">’s argument that </w:t>
      </w:r>
      <w:r w:rsidR="00B94BD1">
        <w:rPr>
          <w:sz w:val="26"/>
          <w:szCs w:val="26"/>
        </w:rPr>
        <w:t xml:space="preserve">this process </w:t>
      </w:r>
      <w:r w:rsidR="001F1D20">
        <w:rPr>
          <w:sz w:val="26"/>
          <w:szCs w:val="26"/>
        </w:rPr>
        <w:t xml:space="preserve">should </w:t>
      </w:r>
      <w:r w:rsidR="00B94BD1">
        <w:rPr>
          <w:sz w:val="26"/>
          <w:szCs w:val="26"/>
        </w:rPr>
        <w:t xml:space="preserve">be open to a broad range of persons and entities.  </w:t>
      </w:r>
      <w:r>
        <w:rPr>
          <w:sz w:val="26"/>
          <w:szCs w:val="26"/>
        </w:rPr>
        <w:t xml:space="preserve">We note </w:t>
      </w:r>
      <w:r w:rsidR="001F1D20">
        <w:rPr>
          <w:sz w:val="26"/>
          <w:szCs w:val="26"/>
        </w:rPr>
        <w:t xml:space="preserve">in this regard </w:t>
      </w:r>
      <w:r>
        <w:rPr>
          <w:sz w:val="26"/>
          <w:szCs w:val="26"/>
        </w:rPr>
        <w:t xml:space="preserve">that several persons and entities who were not Parties to this proceeding submitted comments on the Plans or testified at the public input hearings.  </w:t>
      </w:r>
      <w:r w:rsidR="00E305A6">
        <w:rPr>
          <w:sz w:val="26"/>
          <w:szCs w:val="26"/>
        </w:rPr>
        <w:t>T</w:t>
      </w:r>
      <w:r w:rsidR="001F1D20">
        <w:rPr>
          <w:sz w:val="26"/>
          <w:szCs w:val="26"/>
        </w:rPr>
        <w:t xml:space="preserve">he stakeholder process </w:t>
      </w:r>
      <w:r w:rsidR="00E305A6">
        <w:rPr>
          <w:sz w:val="26"/>
          <w:szCs w:val="26"/>
        </w:rPr>
        <w:t xml:space="preserve">therefore </w:t>
      </w:r>
      <w:r w:rsidR="001F1D20">
        <w:rPr>
          <w:sz w:val="26"/>
          <w:szCs w:val="26"/>
        </w:rPr>
        <w:t>should be open to all who wish to participate.</w:t>
      </w:r>
    </w:p>
    <w:p w:rsidR="0007482E" w:rsidRDefault="0007482E">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07482E" w:rsidRDefault="00101601">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 xml:space="preserve">We </w:t>
      </w:r>
      <w:r w:rsidR="00783A6E">
        <w:rPr>
          <w:sz w:val="26"/>
          <w:szCs w:val="26"/>
        </w:rPr>
        <w:t xml:space="preserve">commend </w:t>
      </w:r>
      <w:r>
        <w:rPr>
          <w:sz w:val="26"/>
          <w:szCs w:val="26"/>
        </w:rPr>
        <w:t>the Companies’ commitment to meet with stakeholders quarterly</w:t>
      </w:r>
      <w:r w:rsidR="00783A6E">
        <w:rPr>
          <w:sz w:val="26"/>
          <w:szCs w:val="26"/>
        </w:rPr>
        <w:t xml:space="preserve"> and we encourage them to fulfill this commitment</w:t>
      </w:r>
      <w:r w:rsidR="008E657A">
        <w:rPr>
          <w:sz w:val="26"/>
          <w:szCs w:val="26"/>
        </w:rPr>
        <w:t>.  Nevertheless</w:t>
      </w:r>
      <w:r>
        <w:rPr>
          <w:sz w:val="26"/>
          <w:szCs w:val="26"/>
        </w:rPr>
        <w:t xml:space="preserve">, </w:t>
      </w:r>
      <w:r w:rsidR="00783A6E">
        <w:rPr>
          <w:sz w:val="26"/>
          <w:szCs w:val="26"/>
        </w:rPr>
        <w:t xml:space="preserve">consistent with our decisions in other Act 129 EE&amp;C Plan proceedings, </w:t>
      </w:r>
      <w:r>
        <w:rPr>
          <w:sz w:val="26"/>
          <w:szCs w:val="26"/>
        </w:rPr>
        <w:t xml:space="preserve">we </w:t>
      </w:r>
      <w:r w:rsidR="00B1447D" w:rsidRPr="009C1190">
        <w:rPr>
          <w:sz w:val="26"/>
          <w:szCs w:val="26"/>
        </w:rPr>
        <w:t xml:space="preserve">will </w:t>
      </w:r>
      <w:r w:rsidR="00E36896">
        <w:rPr>
          <w:sz w:val="26"/>
          <w:szCs w:val="26"/>
        </w:rPr>
        <w:t xml:space="preserve">only </w:t>
      </w:r>
      <w:r w:rsidR="00B1447D" w:rsidRPr="009C1190">
        <w:rPr>
          <w:sz w:val="26"/>
          <w:szCs w:val="26"/>
        </w:rPr>
        <w:t xml:space="preserve">require </w:t>
      </w:r>
      <w:r w:rsidR="008E657A">
        <w:rPr>
          <w:sz w:val="26"/>
          <w:szCs w:val="26"/>
        </w:rPr>
        <w:t xml:space="preserve">that </w:t>
      </w:r>
      <w:r w:rsidR="00B1447D" w:rsidRPr="009C1190">
        <w:rPr>
          <w:sz w:val="26"/>
          <w:szCs w:val="26"/>
        </w:rPr>
        <w:t>the Compan</w:t>
      </w:r>
      <w:r w:rsidR="00B1447D">
        <w:rPr>
          <w:sz w:val="26"/>
          <w:szCs w:val="26"/>
        </w:rPr>
        <w:t>ies</w:t>
      </w:r>
      <w:r w:rsidR="00B1447D" w:rsidRPr="009C1190">
        <w:rPr>
          <w:sz w:val="26"/>
          <w:szCs w:val="26"/>
        </w:rPr>
        <w:t xml:space="preserve"> meet with stakeholders as needed, but no less </w:t>
      </w:r>
      <w:r w:rsidR="001F1D20">
        <w:rPr>
          <w:sz w:val="26"/>
          <w:szCs w:val="26"/>
        </w:rPr>
        <w:t xml:space="preserve">than </w:t>
      </w:r>
      <w:r w:rsidR="001444C6">
        <w:rPr>
          <w:sz w:val="26"/>
          <w:szCs w:val="26"/>
        </w:rPr>
        <w:t xml:space="preserve">twice </w:t>
      </w:r>
      <w:r>
        <w:rPr>
          <w:sz w:val="26"/>
          <w:szCs w:val="26"/>
        </w:rPr>
        <w:t>annually</w:t>
      </w:r>
      <w:r w:rsidR="00286976">
        <w:rPr>
          <w:sz w:val="26"/>
          <w:szCs w:val="26"/>
        </w:rPr>
        <w:t>, until May </w:t>
      </w:r>
      <w:r w:rsidR="00B1447D" w:rsidRPr="009C1190">
        <w:rPr>
          <w:sz w:val="26"/>
          <w:szCs w:val="26"/>
        </w:rPr>
        <w:t xml:space="preserve">31, 2013, unless otherwise ordered by the Commission. </w:t>
      </w:r>
      <w:r w:rsidR="008305DB">
        <w:rPr>
          <w:sz w:val="26"/>
          <w:szCs w:val="26"/>
        </w:rPr>
        <w:t xml:space="preserve"> </w:t>
      </w:r>
    </w:p>
    <w:p w:rsidR="00B1447D" w:rsidRPr="009C1190" w:rsidRDefault="00B1447D" w:rsidP="00B1447D">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80D90" w:rsidRDefault="00F659E9" w:rsidP="00580D90">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lastRenderedPageBreak/>
        <w:t>W</w:t>
      </w:r>
      <w:r w:rsidR="00580D90">
        <w:rPr>
          <w:sz w:val="26"/>
          <w:szCs w:val="26"/>
        </w:rPr>
        <w:t xml:space="preserve">e are mindful </w:t>
      </w:r>
      <w:r w:rsidR="00B1447D" w:rsidRPr="009C1190">
        <w:rPr>
          <w:sz w:val="26"/>
          <w:szCs w:val="26"/>
        </w:rPr>
        <w:t>that the Compan</w:t>
      </w:r>
      <w:r w:rsidR="00B1447D">
        <w:rPr>
          <w:sz w:val="26"/>
          <w:szCs w:val="26"/>
        </w:rPr>
        <w:t xml:space="preserve">ies </w:t>
      </w:r>
      <w:r w:rsidR="00B1447D" w:rsidRPr="009C1190">
        <w:rPr>
          <w:sz w:val="26"/>
          <w:szCs w:val="26"/>
        </w:rPr>
        <w:t>bear the risk of penalties in the event of non-compliance with the mandates of Act 129.  We will not micro-manage the Compan</w:t>
      </w:r>
      <w:r w:rsidR="00B1447D">
        <w:rPr>
          <w:sz w:val="26"/>
          <w:szCs w:val="26"/>
        </w:rPr>
        <w:t>ie</w:t>
      </w:r>
      <w:r w:rsidR="00B1447D" w:rsidRPr="009C1190">
        <w:rPr>
          <w:sz w:val="26"/>
          <w:szCs w:val="26"/>
        </w:rPr>
        <w:t>s</w:t>
      </w:r>
      <w:r w:rsidR="00B1447D">
        <w:rPr>
          <w:sz w:val="26"/>
          <w:szCs w:val="26"/>
        </w:rPr>
        <w:t>’</w:t>
      </w:r>
      <w:r w:rsidR="00B1447D" w:rsidRPr="009C1190">
        <w:rPr>
          <w:sz w:val="26"/>
          <w:szCs w:val="26"/>
        </w:rPr>
        <w:t xml:space="preserve"> </w:t>
      </w:r>
      <w:r w:rsidR="00B1447D">
        <w:rPr>
          <w:sz w:val="26"/>
          <w:szCs w:val="26"/>
        </w:rPr>
        <w:t xml:space="preserve">compliance efforts.  </w:t>
      </w:r>
      <w:r w:rsidR="00580D90">
        <w:rPr>
          <w:sz w:val="26"/>
          <w:szCs w:val="26"/>
        </w:rPr>
        <w:t xml:space="preserve">Therefore, although we encourage the Companies to be open and responsive to any issues that other stakeholders bring to these discussions that may lead to improvements in the efficiency and cost effectiveness of their EE&amp;C Plans, we make clear that the </w:t>
      </w:r>
      <w:r w:rsidR="00B1447D">
        <w:rPr>
          <w:sz w:val="26"/>
          <w:szCs w:val="26"/>
        </w:rPr>
        <w:t>Companies</w:t>
      </w:r>
      <w:r w:rsidR="00B1447D" w:rsidRPr="009C1190">
        <w:rPr>
          <w:sz w:val="26"/>
          <w:szCs w:val="26"/>
        </w:rPr>
        <w:t xml:space="preserve"> shall </w:t>
      </w:r>
      <w:r w:rsidR="00580D90">
        <w:rPr>
          <w:sz w:val="26"/>
          <w:szCs w:val="26"/>
        </w:rPr>
        <w:t xml:space="preserve">ultimately </w:t>
      </w:r>
      <w:r w:rsidR="00B1447D" w:rsidRPr="009C1190">
        <w:rPr>
          <w:sz w:val="26"/>
          <w:szCs w:val="26"/>
        </w:rPr>
        <w:t>be responsible for all aspects of the on-going stakeholder process</w:t>
      </w:r>
      <w:r>
        <w:rPr>
          <w:sz w:val="26"/>
          <w:szCs w:val="26"/>
        </w:rPr>
        <w:t xml:space="preserve">, except as explicitly set forth herein. </w:t>
      </w:r>
    </w:p>
    <w:p w:rsidR="00580D90" w:rsidRDefault="00580D90">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4177CF" w:rsidRPr="008E7C8E" w:rsidRDefault="00B6382E" w:rsidP="00893917">
      <w:pPr>
        <w:pStyle w:val="Heading5"/>
        <w:spacing w:line="240" w:lineRule="auto"/>
        <w:ind w:left="3600" w:hanging="720"/>
      </w:pPr>
      <w:bookmarkStart w:id="116" w:name="_Toc242516271"/>
      <w:bookmarkStart w:id="117" w:name="_Toc244499327"/>
      <w:r>
        <w:t>(</w:t>
      </w:r>
      <w:r w:rsidR="00B1447D">
        <w:t>2</w:t>
      </w:r>
      <w:r>
        <w:t xml:space="preserve">)  </w:t>
      </w:r>
      <w:r w:rsidR="006F4B78">
        <w:tab/>
      </w:r>
      <w:r w:rsidR="00893917">
        <w:t>Hiring the Unemployed and Reducing the Use of Space Heaters</w:t>
      </w:r>
      <w:bookmarkEnd w:id="116"/>
      <w:bookmarkEnd w:id="117"/>
    </w:p>
    <w:p w:rsidR="00893917" w:rsidRDefault="00893917" w:rsidP="00893917">
      <w:pPr>
        <w:rPr>
          <w:sz w:val="26"/>
          <w:szCs w:val="26"/>
        </w:rPr>
      </w:pPr>
    </w:p>
    <w:p w:rsidR="00893917" w:rsidRPr="005F4E16" w:rsidRDefault="00893917" w:rsidP="00893917">
      <w:pPr>
        <w:rPr>
          <w:sz w:val="26"/>
          <w:szCs w:val="26"/>
        </w:rPr>
      </w:pPr>
    </w:p>
    <w:p w:rsidR="00893917" w:rsidRPr="005F4E16" w:rsidRDefault="00893917" w:rsidP="008E4C54">
      <w:pPr>
        <w:pStyle w:val="Heading6"/>
      </w:pPr>
      <w:bookmarkStart w:id="118" w:name="_Toc242516272"/>
      <w:bookmarkStart w:id="119" w:name="_Toc244499328"/>
      <w:r>
        <w:t>(A</w:t>
      </w:r>
      <w:r w:rsidRPr="005F4E16">
        <w:t xml:space="preserve">)  </w:t>
      </w:r>
      <w:r w:rsidRPr="005F4E16">
        <w:tab/>
        <w:t>Positions of the Parties</w:t>
      </w:r>
      <w:bookmarkEnd w:id="118"/>
      <w:bookmarkEnd w:id="119"/>
    </w:p>
    <w:p w:rsidR="00893917" w:rsidRDefault="00893917" w:rsidP="00893917">
      <w:pPr>
        <w:spacing w:line="360" w:lineRule="auto"/>
        <w:rPr>
          <w:sz w:val="26"/>
          <w:szCs w:val="26"/>
        </w:rPr>
      </w:pPr>
      <w:r w:rsidRPr="005F4E16">
        <w:rPr>
          <w:sz w:val="26"/>
          <w:szCs w:val="26"/>
        </w:rPr>
        <w:tab/>
      </w:r>
      <w:r>
        <w:rPr>
          <w:sz w:val="26"/>
          <w:szCs w:val="26"/>
        </w:rPr>
        <w:tab/>
      </w:r>
    </w:p>
    <w:p w:rsidR="00893917" w:rsidRPr="005F4E16" w:rsidRDefault="00893917" w:rsidP="00893917">
      <w:pPr>
        <w:spacing w:line="360" w:lineRule="auto"/>
        <w:ind w:firstLine="1440"/>
        <w:rPr>
          <w:sz w:val="26"/>
          <w:szCs w:val="26"/>
        </w:rPr>
      </w:pPr>
      <w:r w:rsidRPr="005F4E16">
        <w:rPr>
          <w:sz w:val="26"/>
          <w:szCs w:val="26"/>
        </w:rPr>
        <w:t xml:space="preserve">ACORN recommends that FirstEnergy adopt two </w:t>
      </w:r>
      <w:r>
        <w:rPr>
          <w:sz w:val="26"/>
          <w:szCs w:val="26"/>
        </w:rPr>
        <w:t xml:space="preserve">proposals </w:t>
      </w:r>
      <w:r w:rsidRPr="005F4E16">
        <w:rPr>
          <w:sz w:val="26"/>
          <w:szCs w:val="26"/>
        </w:rPr>
        <w:t>similar to ones proposed by PECO</w:t>
      </w:r>
      <w:r w:rsidR="00931BCB">
        <w:rPr>
          <w:sz w:val="26"/>
          <w:szCs w:val="26"/>
        </w:rPr>
        <w:t xml:space="preserve"> Energy Company in its EE&amp;C Plan</w:t>
      </w:r>
      <w:r>
        <w:rPr>
          <w:sz w:val="26"/>
          <w:szCs w:val="26"/>
        </w:rPr>
        <w:t>.  In regard to these two proposals, A</w:t>
      </w:r>
      <w:r w:rsidRPr="005F4E16">
        <w:rPr>
          <w:sz w:val="26"/>
          <w:szCs w:val="26"/>
        </w:rPr>
        <w:t>CORN witness Phillips testified:</w:t>
      </w:r>
    </w:p>
    <w:p w:rsidR="00893917" w:rsidRPr="005F4E16" w:rsidRDefault="00893917" w:rsidP="00893917">
      <w:pPr>
        <w:rPr>
          <w:sz w:val="26"/>
          <w:szCs w:val="26"/>
        </w:rPr>
      </w:pPr>
    </w:p>
    <w:p w:rsidR="00893917" w:rsidRPr="005F4E16" w:rsidRDefault="00893917" w:rsidP="00893917">
      <w:pPr>
        <w:ind w:left="1440" w:right="1440"/>
        <w:rPr>
          <w:sz w:val="26"/>
          <w:szCs w:val="26"/>
        </w:rPr>
      </w:pPr>
      <w:r w:rsidRPr="005F4E16">
        <w:rPr>
          <w:sz w:val="26"/>
          <w:szCs w:val="26"/>
        </w:rPr>
        <w:t>I am a witness in PECO Energy’s Act 129 proceeding, and I would like to bring to First Energy’s attention two innovative and, in my opinion, farsighted aspects of PECO’s Plan.</w:t>
      </w:r>
    </w:p>
    <w:p w:rsidR="00893917" w:rsidRPr="005F4E16" w:rsidRDefault="00893917" w:rsidP="00893917">
      <w:pPr>
        <w:ind w:left="720"/>
        <w:rPr>
          <w:sz w:val="26"/>
          <w:szCs w:val="26"/>
        </w:rPr>
      </w:pPr>
    </w:p>
    <w:p w:rsidR="00893917" w:rsidRPr="005F4E16" w:rsidRDefault="00893917" w:rsidP="00893917">
      <w:pPr>
        <w:ind w:left="1440" w:right="1440"/>
        <w:rPr>
          <w:sz w:val="26"/>
          <w:szCs w:val="26"/>
        </w:rPr>
      </w:pPr>
      <w:r w:rsidRPr="005F4E16">
        <w:rPr>
          <w:sz w:val="26"/>
          <w:szCs w:val="26"/>
        </w:rPr>
        <w:t>•</w:t>
      </w:r>
      <w:r w:rsidRPr="005F4E16">
        <w:rPr>
          <w:sz w:val="26"/>
          <w:szCs w:val="26"/>
        </w:rPr>
        <w:tab/>
        <w:t>Recruitment Strategies:  PECO is including in its RFP process for Conservation Service Providers a criteria favoring providers who recruit and hire unemployed and low income workers.  PECO’s Plan states:</w:t>
      </w:r>
    </w:p>
    <w:p w:rsidR="00893917" w:rsidRPr="005F4E16" w:rsidRDefault="00893917" w:rsidP="00893917">
      <w:pPr>
        <w:ind w:left="1440" w:right="1440"/>
        <w:rPr>
          <w:sz w:val="26"/>
          <w:szCs w:val="26"/>
        </w:rPr>
      </w:pPr>
    </w:p>
    <w:p w:rsidR="00893917" w:rsidRPr="005F4E16" w:rsidRDefault="00893917" w:rsidP="00893917">
      <w:pPr>
        <w:ind w:left="1440" w:right="1440"/>
        <w:rPr>
          <w:sz w:val="26"/>
          <w:szCs w:val="26"/>
        </w:rPr>
      </w:pPr>
      <w:r w:rsidRPr="005F4E16">
        <w:rPr>
          <w:sz w:val="26"/>
          <w:szCs w:val="26"/>
        </w:rPr>
        <w:t>In addition, PECO will encourage in its RFP process that bidding CSPs investigate opportunities to hire low income, unemployed workers through various programs throughout the State, such as the Pennsylvania Employment, Advancement and Retention Network and Philadelphia Workforce Development Corporation. PECO will include an additional scoring category in its RFP evaluation process for those CSPs that have a plan to utilize the services of welfare-to-work employment agencies, or hire unemployed workers.</w:t>
      </w:r>
    </w:p>
    <w:p w:rsidR="00893917" w:rsidRPr="005F4E16" w:rsidRDefault="00893917" w:rsidP="00893917">
      <w:pPr>
        <w:ind w:left="1440" w:right="1440"/>
        <w:rPr>
          <w:sz w:val="26"/>
          <w:szCs w:val="26"/>
        </w:rPr>
      </w:pPr>
    </w:p>
    <w:p w:rsidR="00893917" w:rsidRPr="005F4E16" w:rsidRDefault="00893917" w:rsidP="00893917">
      <w:pPr>
        <w:ind w:left="1440" w:right="1440"/>
        <w:rPr>
          <w:sz w:val="26"/>
          <w:szCs w:val="26"/>
        </w:rPr>
      </w:pPr>
      <w:r w:rsidRPr="005F4E16">
        <w:rPr>
          <w:sz w:val="26"/>
          <w:szCs w:val="26"/>
        </w:rPr>
        <w:t>This strategy will enable PECO not only to provide energy efficiency services to low income households, but it may enable members of those households to acquire good paying, solid jobs that will help them rise up out of poverty.  I encourage First Energy to include a similar approach in its Plan.  Additionally, First Energy may want to include language that favors Conservation Service Providers that seek out and hire unemployed building construction personnel who have relevant skill sets and who are suffering from the economic downturn.</w:t>
      </w:r>
    </w:p>
    <w:p w:rsidR="00893917" w:rsidRPr="005F4E16" w:rsidRDefault="00893917" w:rsidP="00893917">
      <w:pPr>
        <w:ind w:left="1440" w:right="1440"/>
        <w:rPr>
          <w:sz w:val="26"/>
          <w:szCs w:val="26"/>
        </w:rPr>
      </w:pPr>
    </w:p>
    <w:p w:rsidR="00893917" w:rsidRPr="005F4E16" w:rsidRDefault="00893917" w:rsidP="00893917">
      <w:pPr>
        <w:ind w:left="1440" w:right="1440"/>
        <w:rPr>
          <w:sz w:val="26"/>
          <w:szCs w:val="26"/>
        </w:rPr>
      </w:pPr>
      <w:r w:rsidRPr="005F4E16">
        <w:rPr>
          <w:sz w:val="26"/>
          <w:szCs w:val="26"/>
        </w:rPr>
        <w:t>•</w:t>
      </w:r>
      <w:r w:rsidRPr="005F4E16">
        <w:rPr>
          <w:sz w:val="26"/>
          <w:szCs w:val="26"/>
        </w:rPr>
        <w:tab/>
        <w:t>Space Heaters:  PECO’s Plan proposes to use PECO’s Act 129 Low Income Program as a means to focus on the problem of inefficient, dangerous space heaters in use by low income households.  In its Plan, PECO proposes to “increase emphasis on repair or replacement of non-working gas heating units to remove electr</w:t>
      </w:r>
      <w:r>
        <w:rPr>
          <w:sz w:val="26"/>
          <w:szCs w:val="26"/>
        </w:rPr>
        <w:t xml:space="preserve">ic space heaters from use, and </w:t>
      </w:r>
      <w:r w:rsidRPr="005F4E16">
        <w:rPr>
          <w:sz w:val="26"/>
          <w:szCs w:val="26"/>
        </w:rPr>
        <w:t>address the high percentage of supplemental electric heating that may be due to many factors, including inoperable central heating systems.</w:t>
      </w:r>
    </w:p>
    <w:p w:rsidR="00893917" w:rsidRPr="005F4E16" w:rsidRDefault="00893917" w:rsidP="00893917">
      <w:pPr>
        <w:ind w:left="1440" w:right="1440"/>
        <w:rPr>
          <w:sz w:val="26"/>
          <w:szCs w:val="26"/>
        </w:rPr>
      </w:pPr>
    </w:p>
    <w:p w:rsidR="00893917" w:rsidRPr="005F4E16" w:rsidRDefault="00893917" w:rsidP="00893917">
      <w:pPr>
        <w:ind w:left="1440" w:right="1440"/>
        <w:rPr>
          <w:sz w:val="26"/>
          <w:szCs w:val="26"/>
        </w:rPr>
      </w:pPr>
      <w:r w:rsidRPr="005F4E16">
        <w:rPr>
          <w:sz w:val="26"/>
          <w:szCs w:val="26"/>
        </w:rPr>
        <w:t>I strongly support this measure and encourage First Energy to include a similar strategy in its Act 129 Plan.  Supplemental electric heating units are wasteful of energy and are extremely dangerous to the families and neighborhoods in which they are used.  Nearly every winter, somewhere in the state, a household containing ACORN constituents is struck by tragedy when an electric space heater causes a fire that destroys a home and kills people.  First Energy could help alleviate this problem by including language similar to that which PECO has in its Plan.</w:t>
      </w:r>
    </w:p>
    <w:p w:rsidR="00893917" w:rsidRPr="005F4E16" w:rsidRDefault="00893917" w:rsidP="00893917">
      <w:pPr>
        <w:ind w:left="1440" w:right="1440"/>
        <w:rPr>
          <w:sz w:val="26"/>
          <w:szCs w:val="26"/>
        </w:rPr>
      </w:pPr>
    </w:p>
    <w:p w:rsidR="00893917" w:rsidRPr="005F4E16" w:rsidRDefault="00893917" w:rsidP="00893917">
      <w:pPr>
        <w:rPr>
          <w:sz w:val="26"/>
          <w:szCs w:val="26"/>
        </w:rPr>
      </w:pPr>
      <w:r w:rsidRPr="005F4E16">
        <w:rPr>
          <w:sz w:val="26"/>
          <w:szCs w:val="26"/>
        </w:rPr>
        <w:t>ACORN St. 1 at 9-11</w:t>
      </w:r>
      <w:r w:rsidR="007620C5">
        <w:rPr>
          <w:sz w:val="26"/>
          <w:szCs w:val="26"/>
        </w:rPr>
        <w:t>.</w:t>
      </w:r>
    </w:p>
    <w:p w:rsidR="00893917" w:rsidRPr="005F4E16" w:rsidRDefault="00893917" w:rsidP="00893917">
      <w:pPr>
        <w:rPr>
          <w:sz w:val="26"/>
          <w:szCs w:val="26"/>
        </w:rPr>
      </w:pPr>
      <w:r w:rsidRPr="005F4E16">
        <w:rPr>
          <w:sz w:val="26"/>
          <w:szCs w:val="26"/>
        </w:rPr>
        <w:tab/>
      </w:r>
    </w:p>
    <w:p w:rsidR="00AB2889" w:rsidRDefault="00AB2889" w:rsidP="00893917">
      <w:pPr>
        <w:spacing w:line="360" w:lineRule="auto"/>
        <w:ind w:firstLine="1440"/>
        <w:rPr>
          <w:sz w:val="26"/>
          <w:szCs w:val="26"/>
        </w:rPr>
      </w:pPr>
    </w:p>
    <w:p w:rsidR="00893917" w:rsidRPr="005F4E16" w:rsidRDefault="00893917" w:rsidP="00893917">
      <w:pPr>
        <w:spacing w:line="360" w:lineRule="auto"/>
        <w:ind w:firstLine="1440"/>
        <w:rPr>
          <w:sz w:val="26"/>
          <w:szCs w:val="26"/>
        </w:rPr>
      </w:pPr>
      <w:r w:rsidRPr="005F4E16">
        <w:rPr>
          <w:sz w:val="26"/>
          <w:szCs w:val="26"/>
        </w:rPr>
        <w:t xml:space="preserve">The Companies </w:t>
      </w:r>
      <w:r w:rsidR="00EA6929">
        <w:rPr>
          <w:sz w:val="26"/>
          <w:szCs w:val="26"/>
        </w:rPr>
        <w:t>oppose</w:t>
      </w:r>
      <w:r w:rsidRPr="005F4E16">
        <w:rPr>
          <w:sz w:val="26"/>
          <w:szCs w:val="26"/>
        </w:rPr>
        <w:t xml:space="preserve"> ACORN’s suggestions because ACORN has not provided evidence or demonstrated that adoption of the suggestions would produce better results or be more cost effective than the Companies</w:t>
      </w:r>
      <w:r w:rsidR="00EA6929">
        <w:rPr>
          <w:sz w:val="26"/>
          <w:szCs w:val="26"/>
        </w:rPr>
        <w:t>’ P</w:t>
      </w:r>
      <w:r w:rsidRPr="005F4E16">
        <w:rPr>
          <w:sz w:val="26"/>
          <w:szCs w:val="26"/>
        </w:rPr>
        <w:t xml:space="preserve">lans.  </w:t>
      </w:r>
      <w:r w:rsidR="00EA6929">
        <w:rPr>
          <w:sz w:val="26"/>
          <w:szCs w:val="26"/>
        </w:rPr>
        <w:t xml:space="preserve">FirstEnergy </w:t>
      </w:r>
      <w:r w:rsidRPr="005F4E16">
        <w:rPr>
          <w:sz w:val="26"/>
          <w:szCs w:val="26"/>
        </w:rPr>
        <w:t>RB at 20-22.</w:t>
      </w:r>
    </w:p>
    <w:p w:rsidR="00893917" w:rsidRPr="005F4E16" w:rsidRDefault="00893917" w:rsidP="00893917">
      <w:pPr>
        <w:rPr>
          <w:sz w:val="26"/>
          <w:szCs w:val="26"/>
        </w:rPr>
      </w:pPr>
      <w:r w:rsidRPr="005F4E16">
        <w:rPr>
          <w:sz w:val="26"/>
          <w:szCs w:val="26"/>
        </w:rPr>
        <w:tab/>
      </w:r>
    </w:p>
    <w:p w:rsidR="00EA6929" w:rsidRPr="008E7C8E" w:rsidRDefault="00B95E35" w:rsidP="00B95E35">
      <w:pPr>
        <w:pStyle w:val="Heading6"/>
      </w:pPr>
      <w:bookmarkStart w:id="120" w:name="_Toc242516273"/>
      <w:bookmarkStart w:id="121" w:name="_Toc244499329"/>
      <w:r>
        <w:lastRenderedPageBreak/>
        <w:t>(B</w:t>
      </w:r>
      <w:r w:rsidR="00EA6929">
        <w:t xml:space="preserve">)  </w:t>
      </w:r>
      <w:r w:rsidR="00EA6929">
        <w:tab/>
      </w:r>
      <w:r w:rsidR="00EA6929" w:rsidRPr="008E7C8E">
        <w:t>Disposition</w:t>
      </w:r>
      <w:bookmarkEnd w:id="120"/>
      <w:bookmarkEnd w:id="121"/>
    </w:p>
    <w:p w:rsidR="00893917" w:rsidRDefault="00893917" w:rsidP="004177CF">
      <w:pPr>
        <w:spacing w:line="360" w:lineRule="auto"/>
        <w:ind w:firstLine="2880"/>
        <w:rPr>
          <w:sz w:val="26"/>
          <w:szCs w:val="26"/>
        </w:rPr>
      </w:pPr>
    </w:p>
    <w:p w:rsidR="00EA6929" w:rsidRPr="005F4E16" w:rsidRDefault="00EA6929" w:rsidP="00EA692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5F4E16">
        <w:rPr>
          <w:sz w:val="26"/>
          <w:szCs w:val="26"/>
        </w:rPr>
        <w:tab/>
      </w:r>
      <w:r w:rsidRPr="005F4E16">
        <w:rPr>
          <w:sz w:val="26"/>
          <w:szCs w:val="26"/>
        </w:rPr>
        <w:tab/>
      </w:r>
      <w:r>
        <w:rPr>
          <w:sz w:val="26"/>
          <w:szCs w:val="26"/>
        </w:rPr>
        <w:tab/>
      </w:r>
      <w:r w:rsidRPr="005F4E16">
        <w:rPr>
          <w:sz w:val="26"/>
          <w:szCs w:val="26"/>
        </w:rPr>
        <w:t>ACORN recommends that the Commission mandate special attention for organizations that recruit and employ unemployed or low-income workers.  According to ACORN, such a mandate would enhance benefits to the low-income population as contemplated by Act 129.</w:t>
      </w:r>
    </w:p>
    <w:p w:rsidR="00EA6929" w:rsidRPr="005F4E16" w:rsidRDefault="00EA6929" w:rsidP="00EA692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EA6929" w:rsidRPr="005F4E16" w:rsidRDefault="00EA6929" w:rsidP="00EA6929">
      <w:pPr>
        <w:spacing w:line="360" w:lineRule="auto"/>
        <w:ind w:firstLine="1440"/>
        <w:rPr>
          <w:sz w:val="26"/>
          <w:szCs w:val="26"/>
        </w:rPr>
      </w:pPr>
      <w:r w:rsidRPr="005F4E16">
        <w:rPr>
          <w:sz w:val="26"/>
          <w:szCs w:val="26"/>
        </w:rPr>
        <w:t>Act 1</w:t>
      </w:r>
      <w:r w:rsidR="00824687">
        <w:rPr>
          <w:sz w:val="26"/>
          <w:szCs w:val="26"/>
        </w:rPr>
        <w:t>29 does not mandate that the conservation service provider</w:t>
      </w:r>
      <w:r w:rsidRPr="005F4E16">
        <w:rPr>
          <w:sz w:val="26"/>
          <w:szCs w:val="26"/>
        </w:rPr>
        <w:t xml:space="preserve"> bidding process include evaluation criteria regarding a willingness to employ low-income and unemployed workers.  On the other hand, there is nothing in the Act that would prohibit an EDC from actively seeking to employ unemployed or low-income people, assuming there is no issue with the qualifications or experience of the successful candidates.  Mandating such a standard, however, would present a number of difficulties, not the least of which involves whether the Commission has jurisdiction over the hiring practices of EDC contractors.  In addition, the definitions of “low-income” and “unemployed” would be at issue.  Finally, it would be difficult to impossible for the Commission to enforce a standard involving private and subjective information.  For these reasons, the Commission will not require EDCs to hire low-income or unemployed workers.</w:t>
      </w:r>
    </w:p>
    <w:p w:rsidR="00EA6929" w:rsidRPr="005F4E16" w:rsidRDefault="00EA6929" w:rsidP="00EA6929">
      <w:pPr>
        <w:spacing w:line="360" w:lineRule="auto"/>
        <w:ind w:firstLine="720"/>
        <w:rPr>
          <w:sz w:val="26"/>
          <w:szCs w:val="26"/>
        </w:rPr>
      </w:pPr>
    </w:p>
    <w:p w:rsidR="00EA6929" w:rsidRPr="005F4E16" w:rsidRDefault="00EA6929" w:rsidP="00EA6929">
      <w:pPr>
        <w:spacing w:line="360" w:lineRule="auto"/>
        <w:ind w:firstLine="1440"/>
        <w:rPr>
          <w:sz w:val="26"/>
          <w:szCs w:val="26"/>
        </w:rPr>
      </w:pPr>
      <w:r w:rsidRPr="005F4E16">
        <w:rPr>
          <w:sz w:val="26"/>
          <w:szCs w:val="26"/>
        </w:rPr>
        <w:t xml:space="preserve">ACORN commends PECO Energy Company’s proposal to focus on the removal of electric space heaters from use and encourages the adoption of such a plan by all companies subject to Act 129.  The Commission need not micro-manage each plan to see that the use of space heaters is reduced in the Commonwealth.  We believe other measures in the Act 129 Plan offer sufficient incentives for people to reduce their use of space heaters and to switch to more economical, safe and energy efficient means of heating their homes and businesses.  For these reasons, the Commission will not direct </w:t>
      </w:r>
      <w:r w:rsidR="00636C5A">
        <w:rPr>
          <w:sz w:val="26"/>
          <w:szCs w:val="26"/>
        </w:rPr>
        <w:t xml:space="preserve"> the Companies to implement space heater specific programs.</w:t>
      </w:r>
    </w:p>
    <w:p w:rsidR="00EA6929" w:rsidRDefault="00EA6929" w:rsidP="004177CF">
      <w:pPr>
        <w:spacing w:line="360" w:lineRule="auto"/>
        <w:ind w:firstLine="2880"/>
        <w:rPr>
          <w:sz w:val="26"/>
          <w:szCs w:val="26"/>
        </w:rPr>
      </w:pPr>
    </w:p>
    <w:p w:rsidR="002667F1" w:rsidRPr="008E7C8E" w:rsidRDefault="00B1447D" w:rsidP="002667F1">
      <w:pPr>
        <w:pStyle w:val="Heading5"/>
        <w:spacing w:line="240" w:lineRule="auto"/>
        <w:ind w:left="3600" w:hanging="720"/>
      </w:pPr>
      <w:bookmarkStart w:id="122" w:name="_Toc242516274"/>
      <w:bookmarkStart w:id="123" w:name="_Toc244499330"/>
      <w:r>
        <w:lastRenderedPageBreak/>
        <w:t>(3</w:t>
      </w:r>
      <w:r w:rsidR="002667F1">
        <w:t xml:space="preserve">)  </w:t>
      </w:r>
      <w:r w:rsidR="002667F1">
        <w:tab/>
        <w:t>Expediting the Deployment of Smart Meters and Time of Use Rates</w:t>
      </w:r>
      <w:bookmarkEnd w:id="122"/>
      <w:bookmarkEnd w:id="123"/>
    </w:p>
    <w:p w:rsidR="002667F1" w:rsidRDefault="002667F1" w:rsidP="002667F1">
      <w:pPr>
        <w:rPr>
          <w:sz w:val="26"/>
          <w:szCs w:val="26"/>
        </w:rPr>
      </w:pPr>
    </w:p>
    <w:p w:rsidR="002667F1" w:rsidRPr="005F4E16" w:rsidRDefault="002667F1" w:rsidP="002667F1">
      <w:pPr>
        <w:rPr>
          <w:sz w:val="26"/>
          <w:szCs w:val="26"/>
        </w:rPr>
      </w:pPr>
    </w:p>
    <w:p w:rsidR="002667F1" w:rsidRPr="005F4E16" w:rsidRDefault="002667F1" w:rsidP="008E4C54">
      <w:pPr>
        <w:pStyle w:val="Heading6"/>
      </w:pPr>
      <w:bookmarkStart w:id="124" w:name="_Toc242516275"/>
      <w:bookmarkStart w:id="125" w:name="_Toc244499331"/>
      <w:r>
        <w:t>(A</w:t>
      </w:r>
      <w:r w:rsidRPr="005F4E16">
        <w:t xml:space="preserve">)  </w:t>
      </w:r>
      <w:r w:rsidRPr="005F4E16">
        <w:tab/>
        <w:t>Positions of the Parties</w:t>
      </w:r>
      <w:bookmarkEnd w:id="124"/>
      <w:bookmarkEnd w:id="125"/>
    </w:p>
    <w:p w:rsidR="00893917" w:rsidRDefault="00893917" w:rsidP="004177CF">
      <w:pPr>
        <w:spacing w:line="360" w:lineRule="auto"/>
        <w:ind w:firstLine="2880"/>
        <w:rPr>
          <w:sz w:val="26"/>
          <w:szCs w:val="26"/>
        </w:rPr>
      </w:pPr>
    </w:p>
    <w:p w:rsidR="002667F1" w:rsidRDefault="002667F1" w:rsidP="002667F1">
      <w:pPr>
        <w:spacing w:line="360" w:lineRule="auto"/>
        <w:rPr>
          <w:sz w:val="26"/>
          <w:szCs w:val="26"/>
        </w:rPr>
      </w:pPr>
      <w:r w:rsidRPr="007D70CA">
        <w:rPr>
          <w:sz w:val="26"/>
          <w:szCs w:val="26"/>
        </w:rPr>
        <w:tab/>
      </w:r>
      <w:r>
        <w:rPr>
          <w:sz w:val="26"/>
          <w:szCs w:val="26"/>
        </w:rPr>
        <w:tab/>
      </w:r>
      <w:r w:rsidR="00353AF2">
        <w:rPr>
          <w:sz w:val="26"/>
          <w:szCs w:val="26"/>
        </w:rPr>
        <w:t xml:space="preserve">The </w:t>
      </w:r>
      <w:r w:rsidRPr="007D70CA">
        <w:rPr>
          <w:sz w:val="26"/>
          <w:szCs w:val="26"/>
        </w:rPr>
        <w:t>DEP</w:t>
      </w:r>
      <w:r w:rsidR="00353AF2">
        <w:rPr>
          <w:sz w:val="26"/>
          <w:szCs w:val="26"/>
        </w:rPr>
        <w:t>’s</w:t>
      </w:r>
      <w:r w:rsidRPr="007D70CA">
        <w:rPr>
          <w:sz w:val="26"/>
          <w:szCs w:val="26"/>
        </w:rPr>
        <w:t xml:space="preserve"> witness Guttman </w:t>
      </w:r>
      <w:r>
        <w:rPr>
          <w:sz w:val="26"/>
          <w:szCs w:val="26"/>
        </w:rPr>
        <w:t xml:space="preserve">postulated that </w:t>
      </w:r>
      <w:r w:rsidRPr="007D70CA">
        <w:rPr>
          <w:sz w:val="26"/>
          <w:szCs w:val="26"/>
        </w:rPr>
        <w:t>early deployment of smart meters and implementation of time of use rates are key to successful EE</w:t>
      </w:r>
      <w:r w:rsidR="006323FA">
        <w:rPr>
          <w:sz w:val="26"/>
          <w:szCs w:val="26"/>
        </w:rPr>
        <w:t>&amp;</w:t>
      </w:r>
      <w:r w:rsidRPr="007D70CA">
        <w:rPr>
          <w:sz w:val="26"/>
          <w:szCs w:val="26"/>
        </w:rPr>
        <w:t>C programs</w:t>
      </w:r>
      <w:r>
        <w:rPr>
          <w:sz w:val="26"/>
          <w:szCs w:val="26"/>
        </w:rPr>
        <w:t>.  Ms. Guttman further testified</w:t>
      </w:r>
      <w:r w:rsidRPr="007D70CA">
        <w:rPr>
          <w:sz w:val="26"/>
          <w:szCs w:val="26"/>
        </w:rPr>
        <w:t xml:space="preserve"> that </w:t>
      </w:r>
      <w:r>
        <w:rPr>
          <w:sz w:val="26"/>
          <w:szCs w:val="26"/>
        </w:rPr>
        <w:t xml:space="preserve">the </w:t>
      </w:r>
      <w:r w:rsidRPr="007D70CA">
        <w:rPr>
          <w:sz w:val="26"/>
          <w:szCs w:val="26"/>
        </w:rPr>
        <w:t>Companies’ EE</w:t>
      </w:r>
      <w:r>
        <w:rPr>
          <w:sz w:val="26"/>
          <w:szCs w:val="26"/>
        </w:rPr>
        <w:t>&amp;</w:t>
      </w:r>
      <w:r w:rsidRPr="007D70CA">
        <w:rPr>
          <w:sz w:val="26"/>
          <w:szCs w:val="26"/>
        </w:rPr>
        <w:t>C Plans do not contain a proposal for the deployment of smart meters</w:t>
      </w:r>
      <w:r>
        <w:rPr>
          <w:sz w:val="26"/>
          <w:szCs w:val="26"/>
        </w:rPr>
        <w:t>.  She</w:t>
      </w:r>
      <w:r w:rsidRPr="007D70CA">
        <w:rPr>
          <w:sz w:val="26"/>
          <w:szCs w:val="26"/>
        </w:rPr>
        <w:t xml:space="preserve"> assert</w:t>
      </w:r>
      <w:r>
        <w:rPr>
          <w:sz w:val="26"/>
          <w:szCs w:val="26"/>
        </w:rPr>
        <w:t>ed</w:t>
      </w:r>
      <w:r w:rsidRPr="007D70CA">
        <w:rPr>
          <w:sz w:val="26"/>
          <w:szCs w:val="26"/>
        </w:rPr>
        <w:t xml:space="preserve"> that the Companies should be required to deploy smart meters at a faster rate.  DEP St. 1 at 25-28.</w:t>
      </w:r>
    </w:p>
    <w:p w:rsidR="002667F1" w:rsidRPr="007D70CA" w:rsidRDefault="002667F1" w:rsidP="002667F1">
      <w:pPr>
        <w:spacing w:line="360" w:lineRule="auto"/>
        <w:rPr>
          <w:sz w:val="26"/>
          <w:szCs w:val="26"/>
        </w:rPr>
      </w:pPr>
    </w:p>
    <w:p w:rsidR="002667F1" w:rsidRPr="007D70CA" w:rsidRDefault="002667F1" w:rsidP="002667F1">
      <w:pPr>
        <w:spacing w:line="360" w:lineRule="auto"/>
        <w:rPr>
          <w:sz w:val="26"/>
          <w:szCs w:val="26"/>
        </w:rPr>
      </w:pPr>
      <w:r w:rsidRPr="007D70CA">
        <w:rPr>
          <w:sz w:val="26"/>
          <w:szCs w:val="26"/>
        </w:rPr>
        <w:tab/>
      </w:r>
      <w:r>
        <w:rPr>
          <w:sz w:val="26"/>
          <w:szCs w:val="26"/>
        </w:rPr>
        <w:tab/>
      </w:r>
      <w:r w:rsidRPr="007D70CA">
        <w:rPr>
          <w:sz w:val="26"/>
          <w:szCs w:val="26"/>
        </w:rPr>
        <w:t xml:space="preserve">The Companies argue against </w:t>
      </w:r>
      <w:r w:rsidR="00353AF2">
        <w:rPr>
          <w:sz w:val="26"/>
          <w:szCs w:val="26"/>
        </w:rPr>
        <w:t xml:space="preserve">the </w:t>
      </w:r>
      <w:r w:rsidRPr="007D70CA">
        <w:rPr>
          <w:sz w:val="26"/>
          <w:szCs w:val="26"/>
        </w:rPr>
        <w:t xml:space="preserve">DEP’s recommendations stating that </w:t>
      </w:r>
      <w:r>
        <w:rPr>
          <w:sz w:val="26"/>
          <w:szCs w:val="26"/>
        </w:rPr>
        <w:t xml:space="preserve">the </w:t>
      </w:r>
      <w:r w:rsidRPr="007D70CA">
        <w:rPr>
          <w:sz w:val="26"/>
          <w:szCs w:val="26"/>
        </w:rPr>
        <w:t>deployment of smart meters is addressed in a separate proceeding</w:t>
      </w:r>
      <w:r>
        <w:rPr>
          <w:sz w:val="26"/>
          <w:szCs w:val="26"/>
        </w:rPr>
        <w:t>.  The Companies also</w:t>
      </w:r>
      <w:r w:rsidRPr="007D70CA">
        <w:rPr>
          <w:sz w:val="26"/>
          <w:szCs w:val="26"/>
        </w:rPr>
        <w:t xml:space="preserve"> assert that the submitted Plans satisfy the Act 129 EE</w:t>
      </w:r>
      <w:r>
        <w:rPr>
          <w:sz w:val="26"/>
          <w:szCs w:val="26"/>
        </w:rPr>
        <w:t>&amp;</w:t>
      </w:r>
      <w:r w:rsidRPr="007D70CA">
        <w:rPr>
          <w:sz w:val="26"/>
          <w:szCs w:val="26"/>
        </w:rPr>
        <w:t xml:space="preserve">C requirements.  </w:t>
      </w:r>
      <w:r>
        <w:rPr>
          <w:sz w:val="26"/>
          <w:szCs w:val="26"/>
        </w:rPr>
        <w:t xml:space="preserve">FirstEnergy </w:t>
      </w:r>
      <w:r w:rsidRPr="007D70CA">
        <w:rPr>
          <w:sz w:val="26"/>
          <w:szCs w:val="26"/>
        </w:rPr>
        <w:t>MB at 30-31.</w:t>
      </w:r>
    </w:p>
    <w:p w:rsidR="00893917" w:rsidRDefault="00893917" w:rsidP="004177CF">
      <w:pPr>
        <w:spacing w:line="360" w:lineRule="auto"/>
        <w:ind w:firstLine="2880"/>
        <w:rPr>
          <w:sz w:val="26"/>
          <w:szCs w:val="26"/>
        </w:rPr>
      </w:pPr>
    </w:p>
    <w:p w:rsidR="008B0560" w:rsidRPr="005F4E16" w:rsidRDefault="008B0560" w:rsidP="008E4C54">
      <w:pPr>
        <w:pStyle w:val="Heading6"/>
      </w:pPr>
      <w:bookmarkStart w:id="126" w:name="_Toc242516276"/>
      <w:bookmarkStart w:id="127" w:name="_Toc244499332"/>
      <w:r>
        <w:t xml:space="preserve">(B) </w:t>
      </w:r>
      <w:r>
        <w:tab/>
        <w:t>Disposition</w:t>
      </w:r>
      <w:bookmarkEnd w:id="126"/>
      <w:bookmarkEnd w:id="127"/>
    </w:p>
    <w:p w:rsidR="00893917" w:rsidRDefault="00893917" w:rsidP="004177CF">
      <w:pPr>
        <w:spacing w:line="360" w:lineRule="auto"/>
        <w:ind w:firstLine="2880"/>
        <w:rPr>
          <w:sz w:val="26"/>
          <w:szCs w:val="26"/>
        </w:rPr>
      </w:pPr>
    </w:p>
    <w:p w:rsidR="008B0560" w:rsidRPr="007D70CA" w:rsidRDefault="008B0560" w:rsidP="008B0560">
      <w:pPr>
        <w:spacing w:line="360" w:lineRule="auto"/>
        <w:rPr>
          <w:sz w:val="26"/>
          <w:szCs w:val="26"/>
        </w:rPr>
      </w:pPr>
      <w:r w:rsidRPr="007D70CA">
        <w:rPr>
          <w:sz w:val="26"/>
          <w:szCs w:val="26"/>
        </w:rPr>
        <w:tab/>
      </w:r>
      <w:r>
        <w:rPr>
          <w:sz w:val="26"/>
          <w:szCs w:val="26"/>
        </w:rPr>
        <w:tab/>
      </w:r>
      <w:r w:rsidR="00353AF2">
        <w:rPr>
          <w:sz w:val="26"/>
          <w:szCs w:val="26"/>
        </w:rPr>
        <w:t xml:space="preserve">The </w:t>
      </w:r>
      <w:r w:rsidRPr="007D70CA">
        <w:rPr>
          <w:sz w:val="26"/>
          <w:szCs w:val="26"/>
        </w:rPr>
        <w:t xml:space="preserve">DEP’s testimony contains </w:t>
      </w:r>
      <w:r w:rsidR="00857315">
        <w:rPr>
          <w:sz w:val="26"/>
          <w:szCs w:val="26"/>
        </w:rPr>
        <w:t xml:space="preserve">general </w:t>
      </w:r>
      <w:r w:rsidRPr="007D70CA">
        <w:rPr>
          <w:sz w:val="26"/>
          <w:szCs w:val="26"/>
        </w:rPr>
        <w:t xml:space="preserve">statements </w:t>
      </w:r>
      <w:r w:rsidR="00857315">
        <w:rPr>
          <w:sz w:val="26"/>
          <w:szCs w:val="26"/>
        </w:rPr>
        <w:t xml:space="preserve">regarding </w:t>
      </w:r>
      <w:r w:rsidRPr="007D70CA">
        <w:rPr>
          <w:sz w:val="26"/>
          <w:szCs w:val="26"/>
        </w:rPr>
        <w:t>the value of smart meter deployment coincidental with implementation of time of use based rate plans</w:t>
      </w:r>
      <w:r w:rsidR="00857315">
        <w:rPr>
          <w:sz w:val="26"/>
          <w:szCs w:val="26"/>
        </w:rPr>
        <w:t>.</w:t>
      </w:r>
      <w:r w:rsidRPr="007D70CA">
        <w:rPr>
          <w:sz w:val="26"/>
          <w:szCs w:val="26"/>
        </w:rPr>
        <w:t xml:space="preserve">  </w:t>
      </w:r>
      <w:r w:rsidR="00353AF2">
        <w:rPr>
          <w:sz w:val="26"/>
          <w:szCs w:val="26"/>
        </w:rPr>
        <w:t xml:space="preserve">The </w:t>
      </w:r>
      <w:r w:rsidRPr="007D70CA">
        <w:rPr>
          <w:sz w:val="26"/>
          <w:szCs w:val="26"/>
        </w:rPr>
        <w:t>DEP</w:t>
      </w:r>
      <w:r w:rsidR="00857315">
        <w:rPr>
          <w:sz w:val="26"/>
          <w:szCs w:val="26"/>
        </w:rPr>
        <w:t>, however,</w:t>
      </w:r>
      <w:r w:rsidRPr="007D70CA">
        <w:rPr>
          <w:sz w:val="26"/>
          <w:szCs w:val="26"/>
        </w:rPr>
        <w:t xml:space="preserve"> has no</w:t>
      </w:r>
      <w:r w:rsidR="00857315">
        <w:rPr>
          <w:sz w:val="26"/>
          <w:szCs w:val="26"/>
        </w:rPr>
        <w:t xml:space="preserve">t provided evidence </w:t>
      </w:r>
      <w:r w:rsidRPr="007D70CA">
        <w:rPr>
          <w:sz w:val="26"/>
          <w:szCs w:val="26"/>
        </w:rPr>
        <w:t xml:space="preserve">showing that early deployment of </w:t>
      </w:r>
      <w:r w:rsidR="00857315">
        <w:rPr>
          <w:sz w:val="26"/>
          <w:szCs w:val="26"/>
        </w:rPr>
        <w:t xml:space="preserve">smart meters would improve </w:t>
      </w:r>
      <w:r w:rsidRPr="007D70CA">
        <w:rPr>
          <w:sz w:val="26"/>
          <w:szCs w:val="26"/>
        </w:rPr>
        <w:t>the Companies</w:t>
      </w:r>
      <w:r w:rsidR="00857315">
        <w:rPr>
          <w:sz w:val="26"/>
          <w:szCs w:val="26"/>
        </w:rPr>
        <w:t>’</w:t>
      </w:r>
      <w:r w:rsidRPr="007D70CA">
        <w:rPr>
          <w:sz w:val="26"/>
          <w:szCs w:val="26"/>
        </w:rPr>
        <w:t xml:space="preserve"> </w:t>
      </w:r>
      <w:r w:rsidR="00857315">
        <w:rPr>
          <w:sz w:val="26"/>
          <w:szCs w:val="26"/>
        </w:rPr>
        <w:t>P</w:t>
      </w:r>
      <w:r w:rsidRPr="007D70CA">
        <w:rPr>
          <w:sz w:val="26"/>
          <w:szCs w:val="26"/>
        </w:rPr>
        <w:t>lans</w:t>
      </w:r>
      <w:r w:rsidR="00857315">
        <w:rPr>
          <w:sz w:val="26"/>
          <w:szCs w:val="26"/>
        </w:rPr>
        <w:t xml:space="preserve">.  Furthermore, </w:t>
      </w:r>
      <w:r w:rsidR="00353AF2">
        <w:rPr>
          <w:sz w:val="26"/>
          <w:szCs w:val="26"/>
        </w:rPr>
        <w:t xml:space="preserve">the </w:t>
      </w:r>
      <w:r w:rsidR="00857315">
        <w:rPr>
          <w:sz w:val="26"/>
          <w:szCs w:val="26"/>
        </w:rPr>
        <w:t xml:space="preserve">DEP has not </w:t>
      </w:r>
      <w:r w:rsidRPr="007D70CA">
        <w:rPr>
          <w:sz w:val="26"/>
          <w:szCs w:val="26"/>
        </w:rPr>
        <w:t xml:space="preserve">demonstrated the cost effectiveness of early smart meter deployment.  The Companies are correct that smart meter deployment is addressed in a separate proceeding at </w:t>
      </w:r>
      <w:r w:rsidRPr="007D70CA">
        <w:rPr>
          <w:i/>
          <w:sz w:val="26"/>
          <w:szCs w:val="26"/>
        </w:rPr>
        <w:t>Smart Meter Procurement and Installation</w:t>
      </w:r>
      <w:r w:rsidRPr="007D70CA">
        <w:rPr>
          <w:sz w:val="26"/>
          <w:szCs w:val="26"/>
        </w:rPr>
        <w:t>, Docket No. M-2009-2092655</w:t>
      </w:r>
      <w:r w:rsidR="00857315">
        <w:rPr>
          <w:sz w:val="26"/>
          <w:szCs w:val="26"/>
        </w:rPr>
        <w:t xml:space="preserve"> (</w:t>
      </w:r>
      <w:r w:rsidRPr="007D70CA">
        <w:rPr>
          <w:sz w:val="26"/>
          <w:szCs w:val="26"/>
        </w:rPr>
        <w:t>Implementation Order entered June 24, 2009</w:t>
      </w:r>
      <w:r w:rsidR="00857315">
        <w:rPr>
          <w:sz w:val="26"/>
          <w:szCs w:val="26"/>
        </w:rPr>
        <w:t xml:space="preserve">).  For all of these reasons, we will not order FirstEnergy to revise its Plans to incorporate </w:t>
      </w:r>
      <w:r w:rsidR="00353AF2">
        <w:rPr>
          <w:sz w:val="26"/>
          <w:szCs w:val="26"/>
        </w:rPr>
        <w:t xml:space="preserve">the </w:t>
      </w:r>
      <w:r w:rsidR="00857315">
        <w:rPr>
          <w:sz w:val="26"/>
          <w:szCs w:val="26"/>
        </w:rPr>
        <w:t>DEP’s recommendation.</w:t>
      </w:r>
    </w:p>
    <w:p w:rsidR="00893917" w:rsidRDefault="00893917" w:rsidP="004177CF">
      <w:pPr>
        <w:spacing w:line="360" w:lineRule="auto"/>
        <w:ind w:firstLine="2880"/>
        <w:rPr>
          <w:sz w:val="26"/>
          <w:szCs w:val="26"/>
        </w:rPr>
      </w:pPr>
    </w:p>
    <w:p w:rsidR="005B1144" w:rsidRPr="00352094" w:rsidRDefault="00B6382E" w:rsidP="00940B59">
      <w:pPr>
        <w:pStyle w:val="Heading2"/>
      </w:pPr>
      <w:bookmarkStart w:id="128" w:name="_Toc242516280"/>
      <w:bookmarkStart w:id="129" w:name="_Toc244499333"/>
      <w:r>
        <w:lastRenderedPageBreak/>
        <w:t xml:space="preserve">B.  </w:t>
      </w:r>
      <w:r w:rsidR="006F4B78">
        <w:tab/>
      </w:r>
      <w:r w:rsidR="005B1144" w:rsidRPr="00352094">
        <w:t>Cost Issues</w:t>
      </w:r>
      <w:bookmarkEnd w:id="128"/>
      <w:bookmarkEnd w:id="129"/>
    </w:p>
    <w:p w:rsidR="005B1144" w:rsidRDefault="005B1144" w:rsidP="005B1144">
      <w:pPr>
        <w:spacing w:line="360" w:lineRule="auto"/>
        <w:ind w:firstLine="720"/>
        <w:rPr>
          <w:sz w:val="26"/>
          <w:szCs w:val="26"/>
        </w:rPr>
      </w:pPr>
    </w:p>
    <w:p w:rsidR="005B1144" w:rsidRPr="00352094" w:rsidRDefault="00B6382E" w:rsidP="00940B59">
      <w:pPr>
        <w:pStyle w:val="Heading3"/>
      </w:pPr>
      <w:bookmarkStart w:id="130" w:name="_Toc242516281"/>
      <w:bookmarkStart w:id="131" w:name="_Toc244499334"/>
      <w:r>
        <w:t xml:space="preserve">1.  </w:t>
      </w:r>
      <w:r w:rsidR="006F4B78">
        <w:tab/>
      </w:r>
      <w:r w:rsidR="005B1144" w:rsidRPr="00352094">
        <w:t>Plan Cost Issues</w:t>
      </w:r>
      <w:bookmarkEnd w:id="130"/>
      <w:bookmarkEnd w:id="131"/>
    </w:p>
    <w:p w:rsidR="008E7C8E" w:rsidRDefault="008E7C8E" w:rsidP="008E7C8E">
      <w:pPr>
        <w:spacing w:line="360" w:lineRule="auto"/>
        <w:ind w:firstLine="2160"/>
        <w:rPr>
          <w:b/>
          <w:sz w:val="26"/>
          <w:szCs w:val="26"/>
        </w:rPr>
      </w:pPr>
    </w:p>
    <w:p w:rsidR="004B2A16" w:rsidRPr="00DA77A2" w:rsidRDefault="004B2A16" w:rsidP="004B2A16">
      <w:pPr>
        <w:widowControl w:val="0"/>
        <w:spacing w:line="360" w:lineRule="auto"/>
        <w:ind w:firstLine="2160"/>
        <w:rPr>
          <w:sz w:val="26"/>
          <w:szCs w:val="26"/>
        </w:rPr>
      </w:pPr>
      <w:r>
        <w:rPr>
          <w:sz w:val="26"/>
          <w:szCs w:val="26"/>
        </w:rPr>
        <w:t>Each EE&amp;C plan must include an analysis of the EDC’s administrative costs,</w:t>
      </w:r>
      <w:r w:rsidR="000819B2">
        <w:rPr>
          <w:sz w:val="26"/>
          <w:szCs w:val="26"/>
        </w:rPr>
        <w:t xml:space="preserve"> 66 Pa. C.S. § 2806.1(b)(1)(i)(K</w:t>
      </w:r>
      <w:r>
        <w:rPr>
          <w:sz w:val="26"/>
          <w:szCs w:val="26"/>
        </w:rPr>
        <w:t xml:space="preserve">), as well as an estimate of the total cost of implementing the measures in the plan. </w:t>
      </w:r>
      <w:r w:rsidR="000819B2">
        <w:rPr>
          <w:sz w:val="26"/>
          <w:szCs w:val="26"/>
        </w:rPr>
        <w:t xml:space="preserve"> 66 Pa. C.S. § 2806.1(b)(1)(i)(F</w:t>
      </w:r>
      <w:r>
        <w:rPr>
          <w:sz w:val="26"/>
          <w:szCs w:val="26"/>
        </w:rPr>
        <w:t xml:space="preserve">).  The total cost of the plan cannot exceed </w:t>
      </w:r>
      <w:r w:rsidR="005C42A9">
        <w:rPr>
          <w:sz w:val="26"/>
          <w:szCs w:val="26"/>
        </w:rPr>
        <w:t>2%</w:t>
      </w:r>
      <w:r>
        <w:rPr>
          <w:sz w:val="26"/>
          <w:szCs w:val="26"/>
        </w:rPr>
        <w:t xml:space="preserve"> of the EDC’s total annual revenue as of December 31, 2006.  66 Pa. C.S. § 2806.1(g).  In addition, Act 129 states “no more than 2% of funds available to implement a plan under this subsection shall be allocated for experimental equipment or devices.”  66 Pa. C.S. § 2806.1(b)(1)(iii).</w:t>
      </w:r>
    </w:p>
    <w:p w:rsidR="00EC714A" w:rsidRDefault="00EC714A" w:rsidP="00940B59">
      <w:pPr>
        <w:pStyle w:val="Heading4"/>
      </w:pPr>
    </w:p>
    <w:p w:rsidR="006E7F86" w:rsidRPr="00C66183" w:rsidRDefault="008E7C8E" w:rsidP="006E7F86">
      <w:pPr>
        <w:pStyle w:val="Heading4"/>
        <w:rPr>
          <w:b w:val="0"/>
          <w:szCs w:val="26"/>
        </w:rPr>
      </w:pPr>
      <w:bookmarkStart w:id="132" w:name="_Toc242516282"/>
      <w:bookmarkStart w:id="133" w:name="_Toc244499335"/>
      <w:r>
        <w:t>a.</w:t>
      </w:r>
      <w:r w:rsidR="00B6382E">
        <w:t xml:space="preserve">  </w:t>
      </w:r>
      <w:r w:rsidR="006F4B78">
        <w:tab/>
      </w:r>
      <w:r w:rsidR="00FC0C2B">
        <w:t>The Two Percent</w:t>
      </w:r>
      <w:r w:rsidR="006E7F86">
        <w:t xml:space="preserve"> </w:t>
      </w:r>
      <w:r w:rsidR="009D16CC">
        <w:t>Cost Cap</w:t>
      </w:r>
      <w:bookmarkEnd w:id="132"/>
      <w:bookmarkEnd w:id="133"/>
    </w:p>
    <w:p w:rsidR="006E7F86" w:rsidRDefault="006E7F86" w:rsidP="006E7F86">
      <w:pPr>
        <w:widowControl w:val="0"/>
        <w:spacing w:line="360" w:lineRule="auto"/>
        <w:ind w:firstLine="1440"/>
        <w:rPr>
          <w:sz w:val="26"/>
          <w:szCs w:val="26"/>
        </w:rPr>
      </w:pPr>
    </w:p>
    <w:p w:rsidR="006E7F86" w:rsidRDefault="006E7F86" w:rsidP="006E7F86">
      <w:pPr>
        <w:pStyle w:val="Heading5"/>
      </w:pPr>
      <w:bookmarkStart w:id="134" w:name="_Toc242516283"/>
      <w:bookmarkStart w:id="135" w:name="_Toc244499336"/>
      <w:r>
        <w:t>(1)</w:t>
      </w:r>
      <w:r>
        <w:tab/>
        <w:t>Positions of the Parties</w:t>
      </w:r>
      <w:bookmarkEnd w:id="134"/>
      <w:bookmarkEnd w:id="135"/>
    </w:p>
    <w:p w:rsidR="006E7F86" w:rsidRDefault="006E7F86" w:rsidP="006E7F86">
      <w:pPr>
        <w:spacing w:line="360" w:lineRule="auto"/>
        <w:ind w:firstLine="1440"/>
        <w:rPr>
          <w:sz w:val="26"/>
          <w:szCs w:val="26"/>
        </w:rPr>
      </w:pPr>
    </w:p>
    <w:p w:rsidR="00A333A5" w:rsidRDefault="00A333A5" w:rsidP="00A333A5">
      <w:pPr>
        <w:spacing w:line="360" w:lineRule="auto"/>
        <w:ind w:firstLine="1440"/>
        <w:rPr>
          <w:sz w:val="26"/>
          <w:szCs w:val="26"/>
        </w:rPr>
      </w:pPr>
      <w:r w:rsidRPr="003733D5">
        <w:rPr>
          <w:sz w:val="26"/>
          <w:szCs w:val="26"/>
        </w:rPr>
        <w:t>Section 2806.1(g) of Act 129 s</w:t>
      </w:r>
      <w:r>
        <w:rPr>
          <w:sz w:val="26"/>
          <w:szCs w:val="26"/>
        </w:rPr>
        <w:t>tates</w:t>
      </w:r>
      <w:r w:rsidRPr="003733D5">
        <w:rPr>
          <w:sz w:val="26"/>
          <w:szCs w:val="26"/>
        </w:rPr>
        <w:t xml:space="preserve"> the</w:t>
      </w:r>
      <w:r>
        <w:rPr>
          <w:sz w:val="26"/>
          <w:szCs w:val="26"/>
        </w:rPr>
        <w:t xml:space="preserve"> total cost of any EE&amp;C Plan may</w:t>
      </w:r>
      <w:r w:rsidRPr="003733D5">
        <w:rPr>
          <w:sz w:val="26"/>
          <w:szCs w:val="26"/>
        </w:rPr>
        <w:t xml:space="preserve"> not exceed 2% of the EDC’s total annual revenues as of December 31, 2006.  </w:t>
      </w:r>
      <w:r>
        <w:rPr>
          <w:sz w:val="26"/>
          <w:szCs w:val="26"/>
        </w:rPr>
        <w:t xml:space="preserve">Additionally, this section of the Act provides that the </w:t>
      </w:r>
      <w:r w:rsidR="005C42A9">
        <w:rPr>
          <w:sz w:val="26"/>
          <w:szCs w:val="26"/>
        </w:rPr>
        <w:t>2%</w:t>
      </w:r>
      <w:r>
        <w:rPr>
          <w:sz w:val="26"/>
          <w:szCs w:val="26"/>
        </w:rPr>
        <w:t xml:space="preserve"> provision shall not apply to the cost of residential low-income usage </w:t>
      </w:r>
      <w:r w:rsidR="005A0AF7">
        <w:rPr>
          <w:sz w:val="26"/>
          <w:szCs w:val="26"/>
        </w:rPr>
        <w:t xml:space="preserve">reduction programs established </w:t>
      </w:r>
      <w:r>
        <w:rPr>
          <w:sz w:val="26"/>
          <w:szCs w:val="26"/>
        </w:rPr>
        <w:t xml:space="preserve">under Chapter 58 of the Commission’s Regulations.  52 Pa. Code §§ 58.1 </w:t>
      </w:r>
      <w:r>
        <w:rPr>
          <w:i/>
          <w:sz w:val="26"/>
          <w:szCs w:val="26"/>
        </w:rPr>
        <w:t>et seq.</w:t>
      </w:r>
      <w:r>
        <w:rPr>
          <w:sz w:val="26"/>
          <w:szCs w:val="26"/>
        </w:rPr>
        <w:t xml:space="preserve">   The Act defines an EDC’s total annual revenue as amounts paid to the EDC for generation, transmission, distribution and surcharges by retail customers.  66 Pa. C.S. § 2806.1(m).</w:t>
      </w:r>
    </w:p>
    <w:p w:rsidR="00A333A5" w:rsidRDefault="00A333A5" w:rsidP="00A333A5">
      <w:pPr>
        <w:spacing w:line="360" w:lineRule="auto"/>
        <w:ind w:firstLine="1440"/>
        <w:rPr>
          <w:sz w:val="26"/>
          <w:szCs w:val="26"/>
        </w:rPr>
      </w:pPr>
    </w:p>
    <w:p w:rsidR="00542DF2" w:rsidRDefault="00A333A5" w:rsidP="00E5770A">
      <w:pPr>
        <w:widowControl w:val="0"/>
        <w:spacing w:line="360" w:lineRule="auto"/>
        <w:ind w:firstLine="1440"/>
        <w:rPr>
          <w:sz w:val="26"/>
          <w:szCs w:val="26"/>
        </w:rPr>
      </w:pPr>
      <w:r w:rsidRPr="003733D5">
        <w:rPr>
          <w:sz w:val="26"/>
          <w:szCs w:val="26"/>
        </w:rPr>
        <w:t xml:space="preserve">In </w:t>
      </w:r>
      <w:r>
        <w:rPr>
          <w:sz w:val="26"/>
          <w:szCs w:val="26"/>
        </w:rPr>
        <w:t xml:space="preserve">the </w:t>
      </w:r>
      <w:r w:rsidRPr="003733D5">
        <w:rPr>
          <w:i/>
          <w:sz w:val="26"/>
          <w:szCs w:val="26"/>
        </w:rPr>
        <w:t>Implementation Order</w:t>
      </w:r>
      <w:r w:rsidRPr="003733D5">
        <w:rPr>
          <w:sz w:val="26"/>
          <w:szCs w:val="26"/>
        </w:rPr>
        <w:t xml:space="preserve">, </w:t>
      </w:r>
      <w:r>
        <w:rPr>
          <w:sz w:val="26"/>
          <w:szCs w:val="26"/>
        </w:rPr>
        <w:t xml:space="preserve">we </w:t>
      </w:r>
      <w:r w:rsidRPr="003733D5">
        <w:rPr>
          <w:sz w:val="26"/>
          <w:szCs w:val="26"/>
        </w:rPr>
        <w:t xml:space="preserve">concluded that “[w]ith regard to the two percent limitation provision of the Act, we agree with PPL Electric that this limitation on the ‘total cost of any plan’ should be interpreted as an annual amount, rather than an amount for the full term of the Plan.”  </w:t>
      </w:r>
      <w:r w:rsidRPr="003733D5">
        <w:rPr>
          <w:i/>
          <w:sz w:val="26"/>
          <w:szCs w:val="26"/>
        </w:rPr>
        <w:t>Implementation Order</w:t>
      </w:r>
      <w:r>
        <w:rPr>
          <w:sz w:val="26"/>
          <w:szCs w:val="26"/>
        </w:rPr>
        <w:t xml:space="preserve"> at</w:t>
      </w:r>
      <w:r w:rsidRPr="003733D5">
        <w:rPr>
          <w:sz w:val="26"/>
          <w:szCs w:val="26"/>
        </w:rPr>
        <w:t xml:space="preserve"> 34.  </w:t>
      </w:r>
      <w:r>
        <w:rPr>
          <w:sz w:val="26"/>
          <w:szCs w:val="26"/>
        </w:rPr>
        <w:t>FirstEnergy</w:t>
      </w:r>
      <w:r w:rsidRPr="003733D5">
        <w:rPr>
          <w:sz w:val="26"/>
          <w:szCs w:val="26"/>
        </w:rPr>
        <w:t xml:space="preserve"> has relied on the Commission’s determination regarding the </w:t>
      </w:r>
      <w:r>
        <w:rPr>
          <w:sz w:val="26"/>
          <w:szCs w:val="26"/>
        </w:rPr>
        <w:t xml:space="preserve">allowable </w:t>
      </w:r>
      <w:r w:rsidRPr="003733D5">
        <w:rPr>
          <w:sz w:val="26"/>
          <w:szCs w:val="26"/>
        </w:rPr>
        <w:t>total cost</w:t>
      </w:r>
      <w:r>
        <w:rPr>
          <w:sz w:val="26"/>
          <w:szCs w:val="26"/>
        </w:rPr>
        <w:t xml:space="preserve"> and </w:t>
      </w:r>
      <w:r>
        <w:rPr>
          <w:sz w:val="26"/>
          <w:szCs w:val="26"/>
        </w:rPr>
        <w:lastRenderedPageBreak/>
        <w:t>accordingly has constructed its Plan</w:t>
      </w:r>
      <w:r w:rsidR="00AB2889">
        <w:rPr>
          <w:sz w:val="26"/>
          <w:szCs w:val="26"/>
        </w:rPr>
        <w:t>s</w:t>
      </w:r>
      <w:r>
        <w:rPr>
          <w:sz w:val="26"/>
          <w:szCs w:val="26"/>
        </w:rPr>
        <w:t xml:space="preserve"> using $24.9 million for Met Ed, $22.9 million for Penelec and $6.7 million for </w:t>
      </w:r>
      <w:r w:rsidR="00AB2889">
        <w:rPr>
          <w:sz w:val="26"/>
          <w:szCs w:val="26"/>
        </w:rPr>
        <w:t>Penn Power</w:t>
      </w:r>
      <w:r>
        <w:rPr>
          <w:sz w:val="26"/>
          <w:szCs w:val="26"/>
        </w:rPr>
        <w:t xml:space="preserve"> as an annual cost for each</w:t>
      </w:r>
      <w:r w:rsidR="00BA4883">
        <w:rPr>
          <w:sz w:val="26"/>
          <w:szCs w:val="26"/>
        </w:rPr>
        <w:t xml:space="preserve"> year</w:t>
      </w:r>
      <w:r>
        <w:rPr>
          <w:sz w:val="26"/>
          <w:szCs w:val="26"/>
        </w:rPr>
        <w:t xml:space="preserve"> of the </w:t>
      </w:r>
      <w:r w:rsidR="00BA4883">
        <w:rPr>
          <w:sz w:val="26"/>
          <w:szCs w:val="26"/>
        </w:rPr>
        <w:t xml:space="preserve">Plans’ </w:t>
      </w:r>
      <w:r>
        <w:rPr>
          <w:sz w:val="26"/>
          <w:szCs w:val="26"/>
        </w:rPr>
        <w:t>four years</w:t>
      </w:r>
      <w:r w:rsidRPr="003733D5">
        <w:rPr>
          <w:sz w:val="26"/>
          <w:szCs w:val="26"/>
        </w:rPr>
        <w:t>.</w:t>
      </w:r>
      <w:r w:rsidR="00AB2889">
        <w:rPr>
          <w:sz w:val="26"/>
          <w:szCs w:val="26"/>
        </w:rPr>
        <w:t xml:space="preserve">  </w:t>
      </w:r>
      <w:r>
        <w:rPr>
          <w:sz w:val="26"/>
          <w:szCs w:val="26"/>
        </w:rPr>
        <w:t>FirstEnergy Exh.</w:t>
      </w:r>
      <w:r w:rsidRPr="008E61BC">
        <w:rPr>
          <w:i/>
          <w:sz w:val="26"/>
          <w:szCs w:val="26"/>
        </w:rPr>
        <w:t xml:space="preserve"> </w:t>
      </w:r>
      <w:r w:rsidRPr="00A06337">
        <w:rPr>
          <w:sz w:val="26"/>
          <w:szCs w:val="26"/>
        </w:rPr>
        <w:t>RIP-5</w:t>
      </w:r>
      <w:r w:rsidRPr="008E61BC">
        <w:rPr>
          <w:i/>
          <w:sz w:val="26"/>
          <w:szCs w:val="26"/>
        </w:rPr>
        <w:t>.</w:t>
      </w:r>
      <w:r>
        <w:rPr>
          <w:i/>
          <w:sz w:val="26"/>
          <w:szCs w:val="26"/>
        </w:rPr>
        <w:t xml:space="preserve">  </w:t>
      </w:r>
      <w:r>
        <w:rPr>
          <w:sz w:val="26"/>
          <w:szCs w:val="26"/>
        </w:rPr>
        <w:t xml:space="preserve">Therefore, for the </w:t>
      </w:r>
      <w:r w:rsidR="00BA4883">
        <w:rPr>
          <w:sz w:val="26"/>
          <w:szCs w:val="26"/>
        </w:rPr>
        <w:t>four-</w:t>
      </w:r>
      <w:r>
        <w:rPr>
          <w:sz w:val="26"/>
          <w:szCs w:val="26"/>
        </w:rPr>
        <w:t xml:space="preserve">year duration of each plan, the total </w:t>
      </w:r>
      <w:r w:rsidR="005A0AF7">
        <w:rPr>
          <w:sz w:val="26"/>
          <w:szCs w:val="26"/>
        </w:rPr>
        <w:t>2%</w:t>
      </w:r>
      <w:r>
        <w:rPr>
          <w:sz w:val="26"/>
          <w:szCs w:val="26"/>
        </w:rPr>
        <w:t xml:space="preserve"> cost caps for </w:t>
      </w:r>
      <w:r w:rsidR="0000701D">
        <w:rPr>
          <w:sz w:val="26"/>
          <w:szCs w:val="26"/>
        </w:rPr>
        <w:t xml:space="preserve">the </w:t>
      </w:r>
      <w:r>
        <w:rPr>
          <w:sz w:val="26"/>
          <w:szCs w:val="26"/>
        </w:rPr>
        <w:t>Companies are as follows: Met Ed $99,467,568; Penelec $91,898,976; and Penn Power $</w:t>
      </w:r>
      <w:r w:rsidR="00AB2F18">
        <w:rPr>
          <w:sz w:val="26"/>
          <w:szCs w:val="26"/>
        </w:rPr>
        <w:t>26,639,136.  FirstEnergy St.</w:t>
      </w:r>
      <w:r>
        <w:rPr>
          <w:sz w:val="26"/>
          <w:szCs w:val="26"/>
        </w:rPr>
        <w:t xml:space="preserve"> 3-R at 9-10; FirstEnergy RB at 3.</w:t>
      </w:r>
    </w:p>
    <w:p w:rsidR="00A333A5" w:rsidRPr="00C85877" w:rsidRDefault="00A333A5" w:rsidP="00A333A5">
      <w:pPr>
        <w:spacing w:line="360" w:lineRule="auto"/>
        <w:ind w:firstLine="1440"/>
        <w:rPr>
          <w:sz w:val="26"/>
          <w:szCs w:val="26"/>
        </w:rPr>
      </w:pPr>
    </w:p>
    <w:p w:rsidR="00A333A5" w:rsidRDefault="00A333A5" w:rsidP="00A333A5">
      <w:pPr>
        <w:spacing w:line="360" w:lineRule="auto"/>
        <w:ind w:firstLine="1440"/>
        <w:rPr>
          <w:sz w:val="26"/>
          <w:szCs w:val="26"/>
        </w:rPr>
      </w:pPr>
      <w:r>
        <w:rPr>
          <w:sz w:val="26"/>
          <w:szCs w:val="26"/>
        </w:rPr>
        <w:t xml:space="preserve">MEIUG </w:t>
      </w:r>
      <w:r>
        <w:rPr>
          <w:i/>
          <w:sz w:val="26"/>
          <w:szCs w:val="26"/>
        </w:rPr>
        <w:t>et al.</w:t>
      </w:r>
      <w:r>
        <w:rPr>
          <w:sz w:val="26"/>
          <w:szCs w:val="26"/>
        </w:rPr>
        <w:t xml:space="preserve"> asserts that FirstEnergy</w:t>
      </w:r>
      <w:r w:rsidRPr="007E51AB">
        <w:rPr>
          <w:sz w:val="26"/>
          <w:szCs w:val="26"/>
        </w:rPr>
        <w:t>'s Proposed</w:t>
      </w:r>
      <w:r>
        <w:rPr>
          <w:sz w:val="26"/>
          <w:szCs w:val="26"/>
        </w:rPr>
        <w:t xml:space="preserve"> EE&amp;C Plan</w:t>
      </w:r>
      <w:r w:rsidR="00BA4883">
        <w:rPr>
          <w:sz w:val="26"/>
          <w:szCs w:val="26"/>
        </w:rPr>
        <w:t>s</w:t>
      </w:r>
      <w:r>
        <w:rPr>
          <w:sz w:val="26"/>
          <w:szCs w:val="26"/>
        </w:rPr>
        <w:t xml:space="preserve"> violate the Act by utilizing </w:t>
      </w:r>
      <w:r w:rsidR="005A0AF7">
        <w:rPr>
          <w:sz w:val="26"/>
          <w:szCs w:val="26"/>
        </w:rPr>
        <w:t>2%</w:t>
      </w:r>
      <w:r>
        <w:rPr>
          <w:sz w:val="26"/>
          <w:szCs w:val="26"/>
        </w:rPr>
        <w:t xml:space="preserve"> of 2006 revenue as an annual total cost in lieu of constructing a proposed b</w:t>
      </w:r>
      <w:r w:rsidRPr="007E51AB">
        <w:rPr>
          <w:sz w:val="26"/>
          <w:szCs w:val="26"/>
        </w:rPr>
        <w:t>udget</w:t>
      </w:r>
      <w:r>
        <w:rPr>
          <w:sz w:val="26"/>
          <w:szCs w:val="26"/>
        </w:rPr>
        <w:t xml:space="preserve"> for the term of the Plan to be only </w:t>
      </w:r>
      <w:r w:rsidR="005A0AF7">
        <w:rPr>
          <w:sz w:val="26"/>
          <w:szCs w:val="26"/>
        </w:rPr>
        <w:t>2%</w:t>
      </w:r>
      <w:r>
        <w:rPr>
          <w:sz w:val="26"/>
          <w:szCs w:val="26"/>
        </w:rPr>
        <w:t xml:space="preserve"> of 2006 revenue</w:t>
      </w:r>
      <w:r w:rsidRPr="007E51AB">
        <w:rPr>
          <w:sz w:val="26"/>
          <w:szCs w:val="26"/>
        </w:rPr>
        <w:t>.</w:t>
      </w:r>
      <w:r>
        <w:rPr>
          <w:sz w:val="26"/>
          <w:szCs w:val="26"/>
        </w:rPr>
        <w:t xml:space="preserve">  MEIUG </w:t>
      </w:r>
      <w:r>
        <w:rPr>
          <w:i/>
          <w:sz w:val="26"/>
          <w:szCs w:val="26"/>
        </w:rPr>
        <w:t>et al.</w:t>
      </w:r>
      <w:r>
        <w:rPr>
          <w:sz w:val="26"/>
          <w:szCs w:val="26"/>
        </w:rPr>
        <w:t xml:space="preserve"> MB at 15.</w:t>
      </w:r>
      <w:r w:rsidRPr="007E51AB">
        <w:rPr>
          <w:sz w:val="26"/>
          <w:szCs w:val="26"/>
        </w:rPr>
        <w:t xml:space="preserve">  In other words,</w:t>
      </w:r>
      <w:r>
        <w:rPr>
          <w:sz w:val="26"/>
          <w:szCs w:val="26"/>
        </w:rPr>
        <w:t xml:space="preserve"> MEIUG </w:t>
      </w:r>
      <w:r w:rsidRPr="00A652C9">
        <w:rPr>
          <w:i/>
          <w:sz w:val="26"/>
          <w:szCs w:val="26"/>
        </w:rPr>
        <w:t>et al</w:t>
      </w:r>
      <w:r>
        <w:rPr>
          <w:sz w:val="26"/>
          <w:szCs w:val="26"/>
        </w:rPr>
        <w:t>. asserts that</w:t>
      </w:r>
      <w:r w:rsidRPr="007E51AB">
        <w:rPr>
          <w:sz w:val="26"/>
          <w:szCs w:val="26"/>
        </w:rPr>
        <w:t xml:space="preserve"> an EDC is permitted to recover from its customers a sum equal to </w:t>
      </w:r>
      <w:r w:rsidR="005A0AF7">
        <w:rPr>
          <w:sz w:val="26"/>
          <w:szCs w:val="26"/>
        </w:rPr>
        <w:t>2%</w:t>
      </w:r>
      <w:r>
        <w:rPr>
          <w:sz w:val="26"/>
          <w:szCs w:val="26"/>
        </w:rPr>
        <w:t xml:space="preserve"> </w:t>
      </w:r>
      <w:r w:rsidRPr="007E51AB">
        <w:rPr>
          <w:sz w:val="26"/>
          <w:szCs w:val="26"/>
        </w:rPr>
        <w:t xml:space="preserve">of its 2006 annual revenue </w:t>
      </w:r>
      <w:r>
        <w:rPr>
          <w:sz w:val="26"/>
          <w:szCs w:val="26"/>
        </w:rPr>
        <w:t xml:space="preserve">over the life of the EE&amp;C Plan </w:t>
      </w:r>
      <w:r w:rsidRPr="007E51AB">
        <w:rPr>
          <w:sz w:val="26"/>
          <w:szCs w:val="26"/>
        </w:rPr>
        <w:t>to implement a</w:t>
      </w:r>
      <w:r>
        <w:rPr>
          <w:sz w:val="26"/>
          <w:szCs w:val="26"/>
        </w:rPr>
        <w:t xml:space="preserve">nd administer that Plan.  MEIUG </w:t>
      </w:r>
      <w:r>
        <w:rPr>
          <w:i/>
          <w:sz w:val="26"/>
          <w:szCs w:val="26"/>
        </w:rPr>
        <w:t>et al.</w:t>
      </w:r>
      <w:r>
        <w:rPr>
          <w:sz w:val="26"/>
          <w:szCs w:val="26"/>
        </w:rPr>
        <w:t xml:space="preserve"> MB at 15.</w:t>
      </w:r>
      <w:r w:rsidRPr="007E51AB">
        <w:rPr>
          <w:sz w:val="26"/>
          <w:szCs w:val="26"/>
        </w:rPr>
        <w:t xml:space="preserve"> </w:t>
      </w:r>
    </w:p>
    <w:p w:rsidR="00A333A5" w:rsidRDefault="00A333A5" w:rsidP="00A333A5">
      <w:pPr>
        <w:spacing w:line="360" w:lineRule="auto"/>
        <w:ind w:firstLine="1440"/>
        <w:rPr>
          <w:sz w:val="26"/>
          <w:szCs w:val="26"/>
        </w:rPr>
      </w:pPr>
    </w:p>
    <w:p w:rsidR="006E7624" w:rsidRDefault="00A333A5" w:rsidP="00A333A5">
      <w:pPr>
        <w:spacing w:line="360" w:lineRule="auto"/>
        <w:ind w:firstLine="1440"/>
        <w:rPr>
          <w:i/>
          <w:sz w:val="26"/>
          <w:szCs w:val="26"/>
        </w:rPr>
      </w:pPr>
      <w:r>
        <w:rPr>
          <w:sz w:val="26"/>
          <w:szCs w:val="26"/>
        </w:rPr>
        <w:t xml:space="preserve">In support of its position, MEIUG </w:t>
      </w:r>
      <w:r>
        <w:rPr>
          <w:i/>
          <w:sz w:val="26"/>
          <w:szCs w:val="26"/>
        </w:rPr>
        <w:t>et al.</w:t>
      </w:r>
      <w:r>
        <w:rPr>
          <w:sz w:val="26"/>
          <w:szCs w:val="26"/>
        </w:rPr>
        <w:t xml:space="preserve"> explains that t</w:t>
      </w:r>
      <w:r w:rsidRPr="007E51AB">
        <w:rPr>
          <w:sz w:val="26"/>
          <w:szCs w:val="26"/>
        </w:rPr>
        <w:t>he plain lan</w:t>
      </w:r>
      <w:r>
        <w:rPr>
          <w:sz w:val="26"/>
          <w:szCs w:val="26"/>
        </w:rPr>
        <w:t>guage of Act 129 provides that “</w:t>
      </w:r>
      <w:r w:rsidRPr="007E51AB">
        <w:rPr>
          <w:sz w:val="26"/>
          <w:szCs w:val="26"/>
        </w:rPr>
        <w:t>[t]he total cost of any [EE&amp;C] plan required under this section shall not exceed 2% of the electric distribution company's total annual r</w:t>
      </w:r>
      <w:r>
        <w:rPr>
          <w:sz w:val="26"/>
          <w:szCs w:val="26"/>
        </w:rPr>
        <w:t>evenue as of December 31, 2006.”</w:t>
      </w:r>
      <w:r w:rsidRPr="007E51AB">
        <w:rPr>
          <w:sz w:val="26"/>
          <w:szCs w:val="26"/>
        </w:rPr>
        <w:t xml:space="preserve">  66 Pa. C.S. § 2806.1(g).  </w:t>
      </w:r>
      <w:r>
        <w:rPr>
          <w:sz w:val="26"/>
          <w:szCs w:val="26"/>
        </w:rPr>
        <w:t xml:space="preserve">MEIUG </w:t>
      </w:r>
      <w:r w:rsidRPr="00A652C9">
        <w:rPr>
          <w:i/>
          <w:sz w:val="26"/>
          <w:szCs w:val="26"/>
        </w:rPr>
        <w:t>et al</w:t>
      </w:r>
      <w:r>
        <w:rPr>
          <w:sz w:val="26"/>
          <w:szCs w:val="26"/>
        </w:rPr>
        <w:t>. further states that t</w:t>
      </w:r>
      <w:r w:rsidRPr="007E51AB">
        <w:rPr>
          <w:sz w:val="26"/>
          <w:szCs w:val="26"/>
        </w:rPr>
        <w:t xml:space="preserve">he Commission recognized this clear limitation in the </w:t>
      </w:r>
      <w:r w:rsidRPr="00A652C9">
        <w:rPr>
          <w:i/>
          <w:sz w:val="26"/>
          <w:szCs w:val="26"/>
        </w:rPr>
        <w:t>Implementation Order</w:t>
      </w:r>
      <w:r w:rsidRPr="007E51AB">
        <w:rPr>
          <w:sz w:val="26"/>
          <w:szCs w:val="26"/>
        </w:rPr>
        <w:t xml:space="preserve"> when </w:t>
      </w:r>
      <w:r>
        <w:rPr>
          <w:sz w:val="26"/>
          <w:szCs w:val="26"/>
        </w:rPr>
        <w:t>it noted that</w:t>
      </w:r>
      <w:r w:rsidRPr="007E51AB">
        <w:rPr>
          <w:sz w:val="26"/>
          <w:szCs w:val="26"/>
        </w:rPr>
        <w:t xml:space="preserve"> </w:t>
      </w:r>
      <w:r>
        <w:rPr>
          <w:sz w:val="26"/>
          <w:szCs w:val="26"/>
        </w:rPr>
        <w:t>“</w:t>
      </w:r>
      <w:r w:rsidRPr="007E51AB">
        <w:rPr>
          <w:sz w:val="26"/>
          <w:szCs w:val="26"/>
        </w:rPr>
        <w:t xml:space="preserve">[t]he Act dictates that the total cost of any plan must not exceed </w:t>
      </w:r>
      <w:r w:rsidR="005A0AF7">
        <w:rPr>
          <w:sz w:val="26"/>
          <w:szCs w:val="26"/>
        </w:rPr>
        <w:t>2%</w:t>
      </w:r>
      <w:r w:rsidRPr="007E51AB">
        <w:rPr>
          <w:sz w:val="26"/>
          <w:szCs w:val="26"/>
        </w:rPr>
        <w:t xml:space="preserve"> of the EDC's total annual revenue as of December 31, 2006, excluding Low-Income Usage Reduction Programs established under 52 Pa. Code § 58 (relating to residential Low Income Usage Reduction Programs).</w:t>
      </w:r>
      <w:r>
        <w:rPr>
          <w:sz w:val="26"/>
          <w:szCs w:val="26"/>
        </w:rPr>
        <w:t>”</w:t>
      </w:r>
      <w:r w:rsidRPr="007E51AB">
        <w:rPr>
          <w:sz w:val="26"/>
          <w:szCs w:val="26"/>
        </w:rPr>
        <w:t xml:space="preserve"> </w:t>
      </w:r>
      <w:r>
        <w:rPr>
          <w:sz w:val="26"/>
          <w:szCs w:val="26"/>
        </w:rPr>
        <w:t xml:space="preserve"> MEIUG </w:t>
      </w:r>
      <w:r>
        <w:rPr>
          <w:i/>
          <w:sz w:val="26"/>
          <w:szCs w:val="26"/>
        </w:rPr>
        <w:t>et al.</w:t>
      </w:r>
      <w:r>
        <w:rPr>
          <w:sz w:val="26"/>
          <w:szCs w:val="26"/>
        </w:rPr>
        <w:t xml:space="preserve"> MB at 15 (quoting the </w:t>
      </w:r>
      <w:r>
        <w:rPr>
          <w:i/>
          <w:sz w:val="26"/>
          <w:szCs w:val="26"/>
        </w:rPr>
        <w:t xml:space="preserve">Implementation Order </w:t>
      </w:r>
    </w:p>
    <w:p w:rsidR="00A333A5" w:rsidRDefault="006E7624" w:rsidP="006E7624">
      <w:pPr>
        <w:spacing w:line="360" w:lineRule="auto"/>
        <w:rPr>
          <w:sz w:val="26"/>
          <w:szCs w:val="26"/>
        </w:rPr>
      </w:pPr>
      <w:r>
        <w:rPr>
          <w:sz w:val="26"/>
          <w:szCs w:val="26"/>
        </w:rPr>
        <w:t>at </w:t>
      </w:r>
      <w:r w:rsidR="00A333A5">
        <w:rPr>
          <w:sz w:val="26"/>
          <w:szCs w:val="26"/>
        </w:rPr>
        <w:t>32)</w:t>
      </w:r>
      <w:r w:rsidR="00A333A5">
        <w:rPr>
          <w:i/>
          <w:sz w:val="26"/>
          <w:szCs w:val="26"/>
        </w:rPr>
        <w:t>.</w:t>
      </w:r>
      <w:r w:rsidR="00A333A5">
        <w:rPr>
          <w:sz w:val="26"/>
          <w:szCs w:val="26"/>
        </w:rPr>
        <w:t xml:space="preserve">  </w:t>
      </w:r>
    </w:p>
    <w:p w:rsidR="00A333A5" w:rsidRDefault="00A333A5" w:rsidP="00A333A5">
      <w:pPr>
        <w:spacing w:line="360" w:lineRule="auto"/>
        <w:ind w:firstLine="1440"/>
        <w:rPr>
          <w:sz w:val="26"/>
          <w:szCs w:val="26"/>
        </w:rPr>
      </w:pPr>
    </w:p>
    <w:p w:rsidR="00A333A5" w:rsidRDefault="00A333A5" w:rsidP="00A333A5">
      <w:pPr>
        <w:spacing w:line="360" w:lineRule="auto"/>
        <w:ind w:firstLine="1440"/>
        <w:rPr>
          <w:sz w:val="26"/>
          <w:szCs w:val="26"/>
        </w:rPr>
      </w:pPr>
      <w:r>
        <w:rPr>
          <w:sz w:val="26"/>
          <w:szCs w:val="26"/>
        </w:rPr>
        <w:t xml:space="preserve">MEIUG </w:t>
      </w:r>
      <w:r>
        <w:rPr>
          <w:i/>
          <w:sz w:val="26"/>
          <w:szCs w:val="26"/>
        </w:rPr>
        <w:t xml:space="preserve">et al. </w:t>
      </w:r>
      <w:r>
        <w:rPr>
          <w:sz w:val="26"/>
          <w:szCs w:val="26"/>
        </w:rPr>
        <w:t>acknowledges that t</w:t>
      </w:r>
      <w:r w:rsidRPr="007E51AB">
        <w:rPr>
          <w:sz w:val="26"/>
          <w:szCs w:val="26"/>
        </w:rPr>
        <w:t xml:space="preserve">he Commission, in its </w:t>
      </w:r>
      <w:r w:rsidRPr="006417DC">
        <w:rPr>
          <w:i/>
          <w:sz w:val="26"/>
          <w:szCs w:val="26"/>
        </w:rPr>
        <w:t>Implementation Order</w:t>
      </w:r>
      <w:r w:rsidRPr="007E51AB">
        <w:rPr>
          <w:sz w:val="26"/>
          <w:szCs w:val="26"/>
        </w:rPr>
        <w:t xml:space="preserve">, interpreted this limitation on the </w:t>
      </w:r>
      <w:r>
        <w:rPr>
          <w:sz w:val="26"/>
          <w:szCs w:val="26"/>
        </w:rPr>
        <w:t>total cost of any plan a</w:t>
      </w:r>
      <w:r w:rsidRPr="007E51AB">
        <w:rPr>
          <w:sz w:val="26"/>
          <w:szCs w:val="26"/>
        </w:rPr>
        <w:t>s an annual amount, rather than an amount</w:t>
      </w:r>
      <w:r>
        <w:rPr>
          <w:sz w:val="26"/>
          <w:szCs w:val="26"/>
        </w:rPr>
        <w:t xml:space="preserve"> for the full period</w:t>
      </w:r>
      <w:r w:rsidR="00B77395">
        <w:rPr>
          <w:sz w:val="26"/>
          <w:szCs w:val="26"/>
        </w:rPr>
        <w:t xml:space="preserve"> covered by the Plans</w:t>
      </w:r>
      <w:r>
        <w:rPr>
          <w:sz w:val="26"/>
          <w:szCs w:val="26"/>
        </w:rPr>
        <w:t>.</w:t>
      </w:r>
      <w:r w:rsidRPr="007E51AB">
        <w:rPr>
          <w:sz w:val="26"/>
          <w:szCs w:val="26"/>
        </w:rPr>
        <w:t xml:space="preserve">  </w:t>
      </w:r>
      <w:r w:rsidRPr="00601D7F">
        <w:rPr>
          <w:i/>
          <w:sz w:val="26"/>
          <w:szCs w:val="26"/>
        </w:rPr>
        <w:t>Implementation Order</w:t>
      </w:r>
      <w:r>
        <w:rPr>
          <w:i/>
          <w:sz w:val="26"/>
          <w:szCs w:val="26"/>
        </w:rPr>
        <w:t xml:space="preserve"> </w:t>
      </w:r>
      <w:r>
        <w:rPr>
          <w:sz w:val="26"/>
          <w:szCs w:val="26"/>
        </w:rPr>
        <w:t>at 32-</w:t>
      </w:r>
      <w:r w:rsidRPr="007E51AB">
        <w:rPr>
          <w:sz w:val="26"/>
          <w:szCs w:val="26"/>
        </w:rPr>
        <w:t xml:space="preserve">33.  </w:t>
      </w:r>
      <w:r>
        <w:rPr>
          <w:sz w:val="26"/>
          <w:szCs w:val="26"/>
        </w:rPr>
        <w:lastRenderedPageBreak/>
        <w:t xml:space="preserve">MEIUG </w:t>
      </w:r>
      <w:r>
        <w:rPr>
          <w:i/>
          <w:sz w:val="26"/>
          <w:szCs w:val="26"/>
        </w:rPr>
        <w:t>et al.</w:t>
      </w:r>
      <w:r>
        <w:rPr>
          <w:sz w:val="26"/>
          <w:szCs w:val="26"/>
        </w:rPr>
        <w:t xml:space="preserve"> asserts that, i</w:t>
      </w:r>
      <w:r w:rsidRPr="007E51AB">
        <w:rPr>
          <w:sz w:val="26"/>
          <w:szCs w:val="26"/>
        </w:rPr>
        <w:t>n an attempt to explain this expanded interpretation, the Commission continued</w:t>
      </w:r>
      <w:r>
        <w:rPr>
          <w:sz w:val="26"/>
          <w:szCs w:val="26"/>
        </w:rPr>
        <w:t xml:space="preserve"> by stating</w:t>
      </w:r>
      <w:r w:rsidRPr="007E51AB">
        <w:rPr>
          <w:sz w:val="26"/>
          <w:szCs w:val="26"/>
        </w:rPr>
        <w:t>:</w:t>
      </w:r>
    </w:p>
    <w:p w:rsidR="00A333A5" w:rsidRDefault="00A333A5" w:rsidP="00A333A5">
      <w:pPr>
        <w:ind w:left="1440" w:right="1440"/>
        <w:jc w:val="both"/>
        <w:rPr>
          <w:sz w:val="26"/>
          <w:szCs w:val="26"/>
        </w:rPr>
      </w:pPr>
    </w:p>
    <w:p w:rsidR="00A333A5" w:rsidRPr="007E51AB" w:rsidRDefault="00A333A5" w:rsidP="00A333A5">
      <w:pPr>
        <w:ind w:left="1440" w:right="1440"/>
        <w:jc w:val="both"/>
        <w:rPr>
          <w:sz w:val="26"/>
          <w:szCs w:val="26"/>
        </w:rPr>
      </w:pPr>
      <w:r>
        <w:rPr>
          <w:sz w:val="26"/>
          <w:szCs w:val="26"/>
        </w:rPr>
        <w:t>S</w:t>
      </w:r>
      <w:r w:rsidRPr="007E51AB">
        <w:rPr>
          <w:sz w:val="26"/>
          <w:szCs w:val="26"/>
        </w:rPr>
        <w:t>ince the statutory limitation in this subsection is computed based on annual revenues as of December 31, 2006, we believe it is reasonable to require that the resulting allowable cost figure be applied on an annual basis as well.  In addition, we note that the plans are subject to annual review and annual cost recovery under the Act, 66 Pa. C.S. §§ 2806.1(h) and (k).  Finally, based upon the information presented in the comments and experience in other states, it appears that the statutory goals for consumption and demand savings are not likely to be achievable if the two percent limit was read as applicable to the entire multi-year EE&amp;C program.</w:t>
      </w:r>
    </w:p>
    <w:p w:rsidR="00A333A5" w:rsidRPr="007E51AB" w:rsidRDefault="00A333A5" w:rsidP="00A333A5">
      <w:pPr>
        <w:spacing w:line="360" w:lineRule="auto"/>
        <w:ind w:left="1440" w:right="1440"/>
        <w:jc w:val="both"/>
        <w:rPr>
          <w:sz w:val="26"/>
          <w:szCs w:val="26"/>
        </w:rPr>
      </w:pPr>
    </w:p>
    <w:p w:rsidR="00A333A5" w:rsidRDefault="00A333A5" w:rsidP="00A333A5">
      <w:pPr>
        <w:spacing w:line="360" w:lineRule="auto"/>
        <w:jc w:val="both"/>
        <w:rPr>
          <w:sz w:val="26"/>
          <w:szCs w:val="26"/>
        </w:rPr>
      </w:pPr>
      <w:r>
        <w:rPr>
          <w:sz w:val="26"/>
          <w:szCs w:val="26"/>
        </w:rPr>
        <w:t xml:space="preserve">MEIUG </w:t>
      </w:r>
      <w:r>
        <w:rPr>
          <w:i/>
          <w:sz w:val="26"/>
          <w:szCs w:val="26"/>
        </w:rPr>
        <w:t>et al.</w:t>
      </w:r>
      <w:r w:rsidR="00B77395">
        <w:rPr>
          <w:sz w:val="26"/>
          <w:szCs w:val="26"/>
        </w:rPr>
        <w:t xml:space="preserve"> MB at</w:t>
      </w:r>
      <w:r>
        <w:rPr>
          <w:sz w:val="26"/>
          <w:szCs w:val="26"/>
        </w:rPr>
        <w:t xml:space="preserve"> 14 (quoting the </w:t>
      </w:r>
      <w:r w:rsidRPr="00601D7F">
        <w:rPr>
          <w:i/>
          <w:sz w:val="26"/>
          <w:szCs w:val="26"/>
        </w:rPr>
        <w:t>Implementation Order</w:t>
      </w:r>
      <w:r>
        <w:rPr>
          <w:i/>
          <w:sz w:val="26"/>
          <w:szCs w:val="26"/>
        </w:rPr>
        <w:t xml:space="preserve"> </w:t>
      </w:r>
      <w:r w:rsidRPr="003116CE">
        <w:rPr>
          <w:sz w:val="26"/>
          <w:szCs w:val="26"/>
        </w:rPr>
        <w:t>at</w:t>
      </w:r>
      <w:r>
        <w:rPr>
          <w:sz w:val="26"/>
          <w:szCs w:val="26"/>
        </w:rPr>
        <w:t xml:space="preserve"> 34).</w:t>
      </w:r>
    </w:p>
    <w:p w:rsidR="00A333A5" w:rsidRDefault="00A333A5" w:rsidP="00A333A5">
      <w:pPr>
        <w:spacing w:line="360" w:lineRule="auto"/>
        <w:ind w:firstLine="1440"/>
        <w:rPr>
          <w:sz w:val="26"/>
          <w:szCs w:val="26"/>
        </w:rPr>
      </w:pPr>
    </w:p>
    <w:p w:rsidR="00A333A5" w:rsidRDefault="00A333A5" w:rsidP="00A333A5">
      <w:pPr>
        <w:spacing w:line="360" w:lineRule="auto"/>
        <w:ind w:firstLine="1440"/>
      </w:pPr>
      <w:r>
        <w:rPr>
          <w:sz w:val="26"/>
          <w:szCs w:val="26"/>
        </w:rPr>
        <w:t>D</w:t>
      </w:r>
      <w:r w:rsidRPr="007E51AB">
        <w:rPr>
          <w:sz w:val="26"/>
          <w:szCs w:val="26"/>
        </w:rPr>
        <w:t>espite the Co</w:t>
      </w:r>
      <w:r>
        <w:rPr>
          <w:sz w:val="26"/>
          <w:szCs w:val="26"/>
        </w:rPr>
        <w:t>mmission's interpretation in the</w:t>
      </w:r>
      <w:r w:rsidRPr="007E51AB">
        <w:rPr>
          <w:sz w:val="26"/>
          <w:szCs w:val="26"/>
        </w:rPr>
        <w:t xml:space="preserve"> </w:t>
      </w:r>
      <w:r w:rsidRPr="00601D7F">
        <w:rPr>
          <w:i/>
          <w:sz w:val="26"/>
          <w:szCs w:val="26"/>
        </w:rPr>
        <w:t>Implementation Order</w:t>
      </w:r>
      <w:r w:rsidRPr="007E51AB">
        <w:rPr>
          <w:sz w:val="26"/>
          <w:szCs w:val="26"/>
        </w:rPr>
        <w:t xml:space="preserve">, </w:t>
      </w:r>
      <w:r>
        <w:rPr>
          <w:sz w:val="26"/>
          <w:szCs w:val="26"/>
        </w:rPr>
        <w:t xml:space="preserve">MEIUG </w:t>
      </w:r>
      <w:r>
        <w:rPr>
          <w:i/>
          <w:sz w:val="26"/>
          <w:szCs w:val="26"/>
        </w:rPr>
        <w:t>et al.</w:t>
      </w:r>
      <w:r>
        <w:rPr>
          <w:sz w:val="26"/>
          <w:szCs w:val="26"/>
        </w:rPr>
        <w:t xml:space="preserve"> also asserts that</w:t>
      </w:r>
      <w:r w:rsidRPr="007E51AB">
        <w:rPr>
          <w:sz w:val="26"/>
          <w:szCs w:val="26"/>
        </w:rPr>
        <w:t xml:space="preserve"> </w:t>
      </w:r>
      <w:r w:rsidR="00B77395">
        <w:rPr>
          <w:sz w:val="26"/>
          <w:szCs w:val="26"/>
        </w:rPr>
        <w:t xml:space="preserve">the </w:t>
      </w:r>
      <w:r>
        <w:rPr>
          <w:sz w:val="26"/>
          <w:szCs w:val="26"/>
        </w:rPr>
        <w:t xml:space="preserve">language of the Act is </w:t>
      </w:r>
      <w:r w:rsidR="00B77395">
        <w:rPr>
          <w:sz w:val="26"/>
          <w:szCs w:val="26"/>
        </w:rPr>
        <w:t>clear and unambiguous</w:t>
      </w:r>
      <w:r w:rsidRPr="007E51AB">
        <w:rPr>
          <w:sz w:val="26"/>
          <w:szCs w:val="26"/>
        </w:rPr>
        <w:t>.</w:t>
      </w:r>
      <w:r>
        <w:rPr>
          <w:sz w:val="26"/>
          <w:szCs w:val="26"/>
        </w:rPr>
        <w:t xml:space="preserve">  T</w:t>
      </w:r>
      <w:r w:rsidRPr="00DB6B75">
        <w:rPr>
          <w:sz w:val="26"/>
          <w:szCs w:val="26"/>
        </w:rPr>
        <w:t>he</w:t>
      </w:r>
      <w:r w:rsidRPr="007E51AB">
        <w:rPr>
          <w:sz w:val="26"/>
          <w:szCs w:val="26"/>
        </w:rPr>
        <w:t xml:space="preserve"> plain language of the statute does not allow for Commission discretion or interpretation</w:t>
      </w:r>
      <w:r>
        <w:rPr>
          <w:sz w:val="26"/>
          <w:szCs w:val="26"/>
        </w:rPr>
        <w:t>.  Moreover, t</w:t>
      </w:r>
      <w:r w:rsidRPr="007E51AB">
        <w:rPr>
          <w:sz w:val="26"/>
          <w:szCs w:val="26"/>
        </w:rPr>
        <w:t>he plain language of a statute cannot be ignored and must be given effect.</w:t>
      </w:r>
      <w:r>
        <w:rPr>
          <w:sz w:val="26"/>
          <w:szCs w:val="26"/>
        </w:rPr>
        <w:t xml:space="preserve">  </w:t>
      </w:r>
      <w:r w:rsidR="006E7624">
        <w:rPr>
          <w:sz w:val="26"/>
          <w:szCs w:val="26"/>
        </w:rPr>
        <w:t>1 </w:t>
      </w:r>
      <w:r w:rsidRPr="00786A7E">
        <w:rPr>
          <w:sz w:val="26"/>
          <w:szCs w:val="26"/>
        </w:rPr>
        <w:t>Pa</w:t>
      </w:r>
      <w:r>
        <w:rPr>
          <w:sz w:val="26"/>
          <w:szCs w:val="26"/>
        </w:rPr>
        <w:t>.</w:t>
      </w:r>
      <w:r w:rsidRPr="00786A7E">
        <w:rPr>
          <w:sz w:val="26"/>
          <w:szCs w:val="26"/>
        </w:rPr>
        <w:t xml:space="preserve"> C.S. § 1921(a)</w:t>
      </w:r>
      <w:r>
        <w:rPr>
          <w:sz w:val="26"/>
          <w:szCs w:val="26"/>
        </w:rPr>
        <w:t>.</w:t>
      </w:r>
      <w:r w:rsidRPr="00786A7E">
        <w:rPr>
          <w:sz w:val="26"/>
          <w:szCs w:val="26"/>
        </w:rPr>
        <w:t xml:space="preserve"> </w:t>
      </w:r>
      <w:r>
        <w:rPr>
          <w:sz w:val="26"/>
          <w:szCs w:val="26"/>
        </w:rPr>
        <w:t xml:space="preserve"> </w:t>
      </w:r>
      <w:r w:rsidRPr="007E51AB">
        <w:rPr>
          <w:sz w:val="26"/>
          <w:szCs w:val="26"/>
        </w:rPr>
        <w:t xml:space="preserve">The </w:t>
      </w:r>
      <w:r w:rsidR="003665B0">
        <w:rPr>
          <w:sz w:val="26"/>
          <w:szCs w:val="26"/>
        </w:rPr>
        <w:t>Commission’s</w:t>
      </w:r>
      <w:r w:rsidR="003665B0" w:rsidRPr="007E51AB">
        <w:rPr>
          <w:sz w:val="26"/>
          <w:szCs w:val="26"/>
        </w:rPr>
        <w:t xml:space="preserve"> </w:t>
      </w:r>
      <w:r w:rsidRPr="007E51AB">
        <w:rPr>
          <w:sz w:val="26"/>
          <w:szCs w:val="26"/>
        </w:rPr>
        <w:t xml:space="preserve">reliance on additional purported indicia of statutory intent is unnecessary in this situation.  </w:t>
      </w:r>
      <w:r>
        <w:rPr>
          <w:sz w:val="26"/>
          <w:szCs w:val="26"/>
        </w:rPr>
        <w:t xml:space="preserve">MEIUG </w:t>
      </w:r>
      <w:r>
        <w:rPr>
          <w:i/>
          <w:sz w:val="26"/>
          <w:szCs w:val="26"/>
        </w:rPr>
        <w:t>et al.</w:t>
      </w:r>
      <w:r>
        <w:rPr>
          <w:sz w:val="26"/>
          <w:szCs w:val="26"/>
        </w:rPr>
        <w:t xml:space="preserve"> MB at 14 (citing 1 Pa. C.S. § 1921(b) and </w:t>
      </w:r>
      <w:r w:rsidRPr="00FA78D0">
        <w:rPr>
          <w:i/>
          <w:sz w:val="26"/>
          <w:szCs w:val="26"/>
        </w:rPr>
        <w:t>Pennsylvania Power Co. v. Pa. P</w:t>
      </w:r>
      <w:r>
        <w:rPr>
          <w:i/>
          <w:sz w:val="26"/>
          <w:szCs w:val="26"/>
        </w:rPr>
        <w:t>UC</w:t>
      </w:r>
      <w:r w:rsidRPr="00FA78D0">
        <w:rPr>
          <w:i/>
          <w:sz w:val="26"/>
          <w:szCs w:val="26"/>
        </w:rPr>
        <w:t xml:space="preserve">, </w:t>
      </w:r>
      <w:r w:rsidRPr="00786A7E">
        <w:rPr>
          <w:sz w:val="26"/>
          <w:szCs w:val="26"/>
        </w:rPr>
        <w:t>932 A.2d 300, 306 (</w:t>
      </w:r>
      <w:r w:rsidR="006E7624">
        <w:rPr>
          <w:sz w:val="26"/>
          <w:szCs w:val="26"/>
        </w:rPr>
        <w:t>Cmwlth. Ct. </w:t>
      </w:r>
      <w:r>
        <w:rPr>
          <w:sz w:val="26"/>
          <w:szCs w:val="26"/>
        </w:rPr>
        <w:t>2007)).</w:t>
      </w:r>
    </w:p>
    <w:p w:rsidR="00A333A5" w:rsidRDefault="00A333A5" w:rsidP="00A333A5">
      <w:pPr>
        <w:spacing w:line="360" w:lineRule="auto"/>
        <w:ind w:firstLine="1440"/>
        <w:rPr>
          <w:sz w:val="26"/>
          <w:szCs w:val="26"/>
        </w:rPr>
      </w:pPr>
    </w:p>
    <w:p w:rsidR="00A333A5" w:rsidRPr="008E2347" w:rsidRDefault="00A333A5" w:rsidP="00A333A5">
      <w:pPr>
        <w:spacing w:line="360" w:lineRule="auto"/>
        <w:ind w:firstLine="1440"/>
        <w:rPr>
          <w:sz w:val="26"/>
          <w:szCs w:val="26"/>
        </w:rPr>
      </w:pPr>
      <w:r>
        <w:rPr>
          <w:sz w:val="26"/>
          <w:szCs w:val="26"/>
        </w:rPr>
        <w:t xml:space="preserve">MEIUG </w:t>
      </w:r>
      <w:r>
        <w:rPr>
          <w:i/>
          <w:sz w:val="26"/>
          <w:szCs w:val="26"/>
        </w:rPr>
        <w:t>et al.</w:t>
      </w:r>
      <w:r>
        <w:rPr>
          <w:sz w:val="26"/>
          <w:szCs w:val="26"/>
        </w:rPr>
        <w:t xml:space="preserve"> also states that </w:t>
      </w:r>
      <w:r w:rsidRPr="007E51AB">
        <w:rPr>
          <w:sz w:val="26"/>
          <w:szCs w:val="26"/>
        </w:rPr>
        <w:t xml:space="preserve">the </w:t>
      </w:r>
      <w:r w:rsidRPr="00786A7E">
        <w:rPr>
          <w:i/>
          <w:sz w:val="26"/>
          <w:szCs w:val="26"/>
        </w:rPr>
        <w:t>Implementation Order</w:t>
      </w:r>
      <w:r w:rsidRPr="007E51AB">
        <w:rPr>
          <w:sz w:val="26"/>
          <w:szCs w:val="26"/>
        </w:rPr>
        <w:t xml:space="preserve"> was not </w:t>
      </w:r>
      <w:r>
        <w:rPr>
          <w:sz w:val="26"/>
          <w:szCs w:val="26"/>
        </w:rPr>
        <w:t xml:space="preserve">an </w:t>
      </w:r>
      <w:r w:rsidRPr="007E51AB">
        <w:rPr>
          <w:sz w:val="26"/>
          <w:szCs w:val="26"/>
        </w:rPr>
        <w:t xml:space="preserve">adjudication subject to appeal.  </w:t>
      </w:r>
      <w:r>
        <w:rPr>
          <w:sz w:val="26"/>
          <w:szCs w:val="26"/>
        </w:rPr>
        <w:t xml:space="preserve">MEIUG </w:t>
      </w:r>
      <w:r>
        <w:rPr>
          <w:i/>
          <w:sz w:val="26"/>
          <w:szCs w:val="26"/>
        </w:rPr>
        <w:t>et a</w:t>
      </w:r>
      <w:r w:rsidRPr="00D5012A">
        <w:rPr>
          <w:i/>
          <w:sz w:val="26"/>
          <w:szCs w:val="26"/>
        </w:rPr>
        <w:t>l</w:t>
      </w:r>
      <w:r>
        <w:rPr>
          <w:i/>
          <w:sz w:val="26"/>
          <w:szCs w:val="26"/>
        </w:rPr>
        <w:t>.</w:t>
      </w:r>
      <w:r>
        <w:rPr>
          <w:sz w:val="26"/>
          <w:szCs w:val="26"/>
        </w:rPr>
        <w:t xml:space="preserve"> states that it has raised this legal argument simply to preserve the right to appeal the </w:t>
      </w:r>
      <w:r>
        <w:rPr>
          <w:i/>
          <w:sz w:val="26"/>
          <w:szCs w:val="26"/>
        </w:rPr>
        <w:t>Implementation Order’s</w:t>
      </w:r>
      <w:r>
        <w:rPr>
          <w:sz w:val="26"/>
          <w:szCs w:val="26"/>
        </w:rPr>
        <w:t xml:space="preserve"> interpretation at a later date, if necessary, and MEIUG </w:t>
      </w:r>
      <w:r>
        <w:rPr>
          <w:i/>
          <w:sz w:val="26"/>
          <w:szCs w:val="26"/>
        </w:rPr>
        <w:t>et al.</w:t>
      </w:r>
      <w:r>
        <w:rPr>
          <w:sz w:val="26"/>
          <w:szCs w:val="26"/>
        </w:rPr>
        <w:t xml:space="preserve"> does not advocate that the Commission reject FirstEnergy’s Plan</w:t>
      </w:r>
      <w:r w:rsidR="003665B0">
        <w:rPr>
          <w:sz w:val="26"/>
          <w:szCs w:val="26"/>
        </w:rPr>
        <w:t>s</w:t>
      </w:r>
      <w:r>
        <w:rPr>
          <w:sz w:val="26"/>
          <w:szCs w:val="26"/>
        </w:rPr>
        <w:t xml:space="preserve"> on this basis.  MEIUG </w:t>
      </w:r>
      <w:r>
        <w:rPr>
          <w:i/>
          <w:sz w:val="26"/>
          <w:szCs w:val="26"/>
        </w:rPr>
        <w:t>et al.</w:t>
      </w:r>
      <w:r>
        <w:rPr>
          <w:sz w:val="26"/>
          <w:szCs w:val="26"/>
        </w:rPr>
        <w:t xml:space="preserve"> MB at 15; RB at 14.</w:t>
      </w:r>
    </w:p>
    <w:p w:rsidR="006E7F86" w:rsidRDefault="006E7F86" w:rsidP="006E7F86">
      <w:pPr>
        <w:widowControl w:val="0"/>
        <w:spacing w:line="360" w:lineRule="auto"/>
        <w:rPr>
          <w:sz w:val="26"/>
          <w:szCs w:val="26"/>
        </w:rPr>
      </w:pPr>
    </w:p>
    <w:p w:rsidR="008E7C8E" w:rsidRPr="008E7C8E" w:rsidRDefault="00661B0E" w:rsidP="00661B0E">
      <w:pPr>
        <w:pStyle w:val="Heading5"/>
      </w:pPr>
      <w:bookmarkStart w:id="136" w:name="_Toc242516284"/>
      <w:bookmarkStart w:id="137" w:name="_Toc244499337"/>
      <w:r>
        <w:lastRenderedPageBreak/>
        <w:t>(2)</w:t>
      </w:r>
      <w:r w:rsidR="00B6382E">
        <w:t xml:space="preserve">  </w:t>
      </w:r>
      <w:r w:rsidR="006F4B78">
        <w:tab/>
      </w:r>
      <w:r w:rsidR="008E7C8E" w:rsidRPr="008E7C8E">
        <w:t>Disposition</w:t>
      </w:r>
      <w:bookmarkEnd w:id="136"/>
      <w:bookmarkEnd w:id="137"/>
    </w:p>
    <w:p w:rsidR="00BB210A" w:rsidRDefault="00BB210A" w:rsidP="006C3030">
      <w:pPr>
        <w:suppressAutoHyphens/>
        <w:spacing w:line="360" w:lineRule="auto"/>
        <w:rPr>
          <w:sz w:val="26"/>
          <w:szCs w:val="26"/>
        </w:rPr>
      </w:pPr>
    </w:p>
    <w:p w:rsidR="006C3030" w:rsidRPr="00FC116C" w:rsidRDefault="006C3030" w:rsidP="006C3030">
      <w:pPr>
        <w:suppressAutoHyphens/>
        <w:spacing w:line="360" w:lineRule="auto"/>
        <w:rPr>
          <w:sz w:val="26"/>
          <w:szCs w:val="26"/>
        </w:rPr>
      </w:pPr>
      <w:r>
        <w:rPr>
          <w:sz w:val="26"/>
          <w:szCs w:val="26"/>
        </w:rPr>
        <w:tab/>
      </w:r>
      <w:r>
        <w:rPr>
          <w:sz w:val="26"/>
          <w:szCs w:val="26"/>
        </w:rPr>
        <w:tab/>
      </w:r>
      <w:r w:rsidRPr="00FC116C">
        <w:rPr>
          <w:sz w:val="26"/>
          <w:szCs w:val="26"/>
        </w:rPr>
        <w:t xml:space="preserve">The Commission previously addressed this issue in the </w:t>
      </w:r>
      <w:r w:rsidRPr="00C23524">
        <w:rPr>
          <w:i/>
          <w:sz w:val="26"/>
          <w:szCs w:val="26"/>
        </w:rPr>
        <w:t>Implementation Order</w:t>
      </w:r>
      <w:r>
        <w:rPr>
          <w:i/>
          <w:sz w:val="26"/>
          <w:szCs w:val="26"/>
        </w:rPr>
        <w:t>.</w:t>
      </w:r>
      <w:r w:rsidRPr="00FC116C">
        <w:rPr>
          <w:sz w:val="26"/>
          <w:szCs w:val="26"/>
        </w:rPr>
        <w:t xml:space="preserve"> The</w:t>
      </w:r>
      <w:r>
        <w:rPr>
          <w:sz w:val="26"/>
          <w:szCs w:val="26"/>
        </w:rPr>
        <w:t>rein, the</w:t>
      </w:r>
      <w:r w:rsidRPr="00FC116C">
        <w:rPr>
          <w:sz w:val="26"/>
          <w:szCs w:val="26"/>
        </w:rPr>
        <w:t xml:space="preserve"> Commission stated the following in this </w:t>
      </w:r>
      <w:r>
        <w:rPr>
          <w:sz w:val="26"/>
          <w:szCs w:val="26"/>
        </w:rPr>
        <w:t>regard</w:t>
      </w:r>
      <w:r w:rsidRPr="00FC116C">
        <w:rPr>
          <w:sz w:val="26"/>
          <w:szCs w:val="26"/>
        </w:rPr>
        <w:t>:</w:t>
      </w:r>
    </w:p>
    <w:p w:rsidR="006C3030" w:rsidRPr="00FC116C" w:rsidRDefault="006C3030" w:rsidP="006C3030">
      <w:pPr>
        <w:pStyle w:val="ListParagraph"/>
        <w:ind w:left="1440" w:right="1440"/>
        <w:rPr>
          <w:sz w:val="26"/>
          <w:szCs w:val="26"/>
        </w:rPr>
      </w:pPr>
    </w:p>
    <w:p w:rsidR="006C3030" w:rsidRPr="00FC116C" w:rsidRDefault="006C3030" w:rsidP="006C3030">
      <w:pPr>
        <w:pStyle w:val="ListParagraph"/>
        <w:ind w:left="1440" w:right="1440"/>
        <w:rPr>
          <w:sz w:val="26"/>
          <w:szCs w:val="26"/>
        </w:rPr>
      </w:pPr>
      <w:r w:rsidRPr="00FC116C">
        <w:rPr>
          <w:sz w:val="26"/>
          <w:szCs w:val="26"/>
        </w:rPr>
        <w:t>With regard to the two percent limitation provision of the Act, we agree with PPL that this limitation on the “total cost of any plan” should be interpreted as an annual amount, rather than an amount for the full five</w:t>
      </w:r>
      <w:r w:rsidRPr="00FC116C">
        <w:rPr>
          <w:sz w:val="26"/>
          <w:szCs w:val="26"/>
        </w:rPr>
        <w:noBreakHyphen/>
        <w:t>year period.  Since the statutory limitation in this subsection is computed based on annual revenues as of December 31, 2006, we believe it is reasonable to require that the resulting allowable cost figure be applied on an annual basis as well.  In addition, we note that the plans are subject to annual review and annual cost recovery under the Act, 66 Pa. C.S. §§ 2806.1(h) and (k).  Finally, based upon the information presented in the comments and experience in other states, it appears that the statutory goals for consumption and demand savings are not likely to be achievable if the two percent limit was read as applicable to the entire multi-year EE&amp;C program.</w:t>
      </w:r>
    </w:p>
    <w:p w:rsidR="006C3030" w:rsidRPr="00FC116C" w:rsidRDefault="006C3030" w:rsidP="006C3030">
      <w:pPr>
        <w:pStyle w:val="ListParagraph"/>
        <w:rPr>
          <w:sz w:val="26"/>
          <w:szCs w:val="26"/>
        </w:rPr>
      </w:pPr>
    </w:p>
    <w:p w:rsidR="006C3030" w:rsidRPr="00FC116C" w:rsidRDefault="006C3030" w:rsidP="006C3030">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FB4702">
        <w:rPr>
          <w:i/>
          <w:sz w:val="26"/>
          <w:szCs w:val="26"/>
        </w:rPr>
        <w:t xml:space="preserve">Implementation </w:t>
      </w:r>
      <w:r w:rsidRPr="00FC116C">
        <w:rPr>
          <w:i/>
          <w:sz w:val="26"/>
          <w:szCs w:val="26"/>
        </w:rPr>
        <w:t>Order</w:t>
      </w:r>
      <w:r w:rsidRPr="00FC116C">
        <w:rPr>
          <w:sz w:val="26"/>
          <w:szCs w:val="26"/>
        </w:rPr>
        <w:t xml:space="preserve"> at 34 (footnotes omitted).</w:t>
      </w:r>
    </w:p>
    <w:p w:rsidR="006C3030" w:rsidRPr="00FC116C" w:rsidRDefault="006C3030" w:rsidP="006C3030">
      <w:pPr>
        <w:pStyle w:val="ListParagraph"/>
        <w:rPr>
          <w:sz w:val="26"/>
          <w:szCs w:val="26"/>
        </w:rPr>
      </w:pPr>
    </w:p>
    <w:p w:rsidR="006C3030" w:rsidRPr="00FC116C" w:rsidRDefault="006C3030" w:rsidP="006C3030">
      <w:pPr>
        <w:suppressAutoHyphens/>
        <w:spacing w:line="360" w:lineRule="auto"/>
        <w:rPr>
          <w:sz w:val="26"/>
          <w:szCs w:val="26"/>
        </w:rPr>
      </w:pPr>
      <w:r>
        <w:rPr>
          <w:sz w:val="26"/>
          <w:szCs w:val="26"/>
        </w:rPr>
        <w:tab/>
      </w:r>
      <w:r>
        <w:rPr>
          <w:sz w:val="26"/>
          <w:szCs w:val="26"/>
        </w:rPr>
        <w:tab/>
      </w:r>
      <w:r w:rsidRPr="00FC116C">
        <w:rPr>
          <w:sz w:val="26"/>
          <w:szCs w:val="26"/>
        </w:rPr>
        <w:t>This Commission’s rational</w:t>
      </w:r>
      <w:r>
        <w:rPr>
          <w:sz w:val="26"/>
          <w:szCs w:val="26"/>
        </w:rPr>
        <w:t>e</w:t>
      </w:r>
      <w:r w:rsidRPr="00FC116C">
        <w:rPr>
          <w:sz w:val="26"/>
          <w:szCs w:val="26"/>
        </w:rPr>
        <w:t xml:space="preserve"> for interpreting the </w:t>
      </w:r>
      <w:r w:rsidR="005A0AF7">
        <w:rPr>
          <w:sz w:val="26"/>
          <w:szCs w:val="26"/>
        </w:rPr>
        <w:t>2%</w:t>
      </w:r>
      <w:r w:rsidRPr="00FC116C">
        <w:rPr>
          <w:sz w:val="26"/>
          <w:szCs w:val="26"/>
        </w:rPr>
        <w:t xml:space="preserve"> cost limitation as an annual amount, as outlined in the </w:t>
      </w:r>
      <w:r w:rsidRPr="00FB4702">
        <w:rPr>
          <w:i/>
          <w:sz w:val="26"/>
          <w:szCs w:val="26"/>
        </w:rPr>
        <w:t>Implementation Order</w:t>
      </w:r>
      <w:r w:rsidRPr="00FC116C">
        <w:rPr>
          <w:sz w:val="26"/>
          <w:szCs w:val="26"/>
        </w:rPr>
        <w:t xml:space="preserve">, points out the ambiguousness of this section.  Therefore, we may consider the consequences of a particular interpretation to determine the intent of the General Assembly.  </w:t>
      </w:r>
      <w:r w:rsidRPr="00FB4702">
        <w:rPr>
          <w:i/>
          <w:sz w:val="26"/>
          <w:szCs w:val="26"/>
        </w:rPr>
        <w:t>See</w:t>
      </w:r>
      <w:r w:rsidRPr="00FC116C">
        <w:rPr>
          <w:sz w:val="26"/>
          <w:szCs w:val="26"/>
        </w:rPr>
        <w:t xml:space="preserve"> 1 Pa. C.S. § 1921(c).  The evidence contained in each of the EE&amp;C plan proceedings provides substantial support for our previous conclusion that the statutory goals for consumption and demand savings are not achievable if</w:t>
      </w:r>
      <w:r w:rsidR="009552D4">
        <w:rPr>
          <w:sz w:val="26"/>
          <w:szCs w:val="26"/>
        </w:rPr>
        <w:t xml:space="preserve"> the </w:t>
      </w:r>
      <w:r w:rsidR="00C913F1">
        <w:rPr>
          <w:sz w:val="26"/>
          <w:szCs w:val="26"/>
        </w:rPr>
        <w:t>2% lim</w:t>
      </w:r>
      <w:r w:rsidRPr="00FC116C">
        <w:rPr>
          <w:sz w:val="26"/>
          <w:szCs w:val="26"/>
        </w:rPr>
        <w:t>it applied to the entire multi</w:t>
      </w:r>
      <w:r w:rsidRPr="00FC116C">
        <w:rPr>
          <w:sz w:val="26"/>
          <w:szCs w:val="26"/>
        </w:rPr>
        <w:noBreakHyphen/>
        <w:t xml:space="preserve">year EE&amp;C program.  The evidence of record shows that </w:t>
      </w:r>
      <w:r>
        <w:rPr>
          <w:sz w:val="26"/>
          <w:szCs w:val="26"/>
        </w:rPr>
        <w:t>FirstEnergy’s P</w:t>
      </w:r>
      <w:r w:rsidRPr="00FC116C">
        <w:rPr>
          <w:sz w:val="26"/>
          <w:szCs w:val="26"/>
        </w:rPr>
        <w:t>lan</w:t>
      </w:r>
      <w:r>
        <w:rPr>
          <w:sz w:val="26"/>
          <w:szCs w:val="26"/>
        </w:rPr>
        <w:t>s each</w:t>
      </w:r>
      <w:r w:rsidRPr="00FC116C">
        <w:rPr>
          <w:sz w:val="26"/>
          <w:szCs w:val="26"/>
        </w:rPr>
        <w:t xml:space="preserve"> just meet</w:t>
      </w:r>
      <w:r>
        <w:rPr>
          <w:sz w:val="26"/>
          <w:szCs w:val="26"/>
        </w:rPr>
        <w:t xml:space="preserve"> or slightly exceed</w:t>
      </w:r>
      <w:r w:rsidRPr="00FC116C">
        <w:rPr>
          <w:sz w:val="26"/>
          <w:szCs w:val="26"/>
        </w:rPr>
        <w:t xml:space="preserve"> the statutory consumption and demand targets with budgets that spend almost </w:t>
      </w:r>
      <w:r w:rsidR="00E5770A">
        <w:rPr>
          <w:sz w:val="26"/>
          <w:szCs w:val="26"/>
        </w:rPr>
        <w:t>(or, in Penn Power’s case, more than</w:t>
      </w:r>
      <w:r w:rsidR="000227CD">
        <w:rPr>
          <w:rStyle w:val="FootnoteReference"/>
          <w:sz w:val="26"/>
          <w:szCs w:val="26"/>
        </w:rPr>
        <w:footnoteReference w:id="26"/>
      </w:r>
      <w:r w:rsidR="00E5770A">
        <w:rPr>
          <w:sz w:val="26"/>
          <w:szCs w:val="26"/>
        </w:rPr>
        <w:t xml:space="preserve">) </w:t>
      </w:r>
      <w:r w:rsidRPr="00FC116C">
        <w:rPr>
          <w:sz w:val="26"/>
          <w:szCs w:val="26"/>
        </w:rPr>
        <w:t xml:space="preserve">the entire </w:t>
      </w:r>
      <w:r w:rsidR="00C913F1">
        <w:rPr>
          <w:sz w:val="26"/>
          <w:szCs w:val="26"/>
        </w:rPr>
        <w:t>2%</w:t>
      </w:r>
      <w:r w:rsidRPr="00FC116C">
        <w:rPr>
          <w:sz w:val="26"/>
          <w:szCs w:val="26"/>
        </w:rPr>
        <w:t xml:space="preserve"> annual cost cap.  As the </w:t>
      </w:r>
      <w:r>
        <w:rPr>
          <w:sz w:val="26"/>
          <w:szCs w:val="26"/>
        </w:rPr>
        <w:t>P</w:t>
      </w:r>
      <w:r w:rsidRPr="00FC116C">
        <w:rPr>
          <w:sz w:val="26"/>
          <w:szCs w:val="26"/>
        </w:rPr>
        <w:t>lan</w:t>
      </w:r>
      <w:r>
        <w:rPr>
          <w:sz w:val="26"/>
          <w:szCs w:val="26"/>
        </w:rPr>
        <w:t>s</w:t>
      </w:r>
      <w:r w:rsidRPr="00FC116C">
        <w:rPr>
          <w:sz w:val="26"/>
          <w:szCs w:val="26"/>
        </w:rPr>
        <w:t xml:space="preserve"> cover four years, the </w:t>
      </w:r>
      <w:r w:rsidRPr="00FC116C">
        <w:rPr>
          <w:sz w:val="26"/>
          <w:szCs w:val="26"/>
        </w:rPr>
        <w:lastRenderedPageBreak/>
        <w:t>Commission would have to reduce the planned expenditures by about three</w:t>
      </w:r>
      <w:r w:rsidRPr="00FC116C">
        <w:rPr>
          <w:sz w:val="26"/>
          <w:szCs w:val="26"/>
        </w:rPr>
        <w:noBreakHyphen/>
        <w:t>fourths of the curren</w:t>
      </w:r>
      <w:r w:rsidR="00C913F1">
        <w:rPr>
          <w:sz w:val="26"/>
          <w:szCs w:val="26"/>
        </w:rPr>
        <w:t>t amount if we were to adopt a 2%</w:t>
      </w:r>
      <w:r w:rsidRPr="00FC116C">
        <w:rPr>
          <w:sz w:val="26"/>
          <w:szCs w:val="26"/>
        </w:rPr>
        <w:t xml:space="preserve"> cap for an entire multi</w:t>
      </w:r>
      <w:r w:rsidRPr="00FC116C">
        <w:rPr>
          <w:sz w:val="26"/>
          <w:szCs w:val="26"/>
        </w:rPr>
        <w:noBreakHyphen/>
        <w:t>year EE&amp;C plan.  Such a reduction in spending would result in a corresponding reduction in consumption and demand energy savings, making it impossible for the EDC</w:t>
      </w:r>
      <w:r w:rsidR="003665B0">
        <w:rPr>
          <w:sz w:val="26"/>
          <w:szCs w:val="26"/>
        </w:rPr>
        <w:t>s</w:t>
      </w:r>
      <w:r w:rsidRPr="00FC116C">
        <w:rPr>
          <w:sz w:val="26"/>
          <w:szCs w:val="26"/>
        </w:rPr>
        <w:t xml:space="preserve"> to meet the statutorily imposed consumption and demand targets, unless </w:t>
      </w:r>
      <w:r>
        <w:rPr>
          <w:sz w:val="26"/>
          <w:szCs w:val="26"/>
        </w:rPr>
        <w:t>FirstEnergy’s</w:t>
      </w:r>
      <w:r w:rsidRPr="00FC116C">
        <w:rPr>
          <w:sz w:val="26"/>
          <w:szCs w:val="26"/>
        </w:rPr>
        <w:t xml:space="preserve"> shareholders contribute what amounts to almost three</w:t>
      </w:r>
      <w:r w:rsidRPr="00FC116C">
        <w:rPr>
          <w:sz w:val="26"/>
          <w:szCs w:val="26"/>
        </w:rPr>
        <w:noBreakHyphen/>
        <w:t xml:space="preserve">fourths of the necessary funding to avoid a penalty of up to $20,000,000.  Such a result could raise an unconstitutional taking issue.  The Commission does not believe that the General Assembly intended such a result.  As such, it is clear to this Commission that the intent of the General Assembly was that each plan would be able to meet the mandated energy reduction targets within the legislatively imposed spending limits.  </w:t>
      </w:r>
    </w:p>
    <w:p w:rsidR="006C3030" w:rsidRPr="00FC116C" w:rsidRDefault="006C3030" w:rsidP="006C3030">
      <w:pPr>
        <w:pStyle w:val="ListParagraph"/>
        <w:rPr>
          <w:sz w:val="26"/>
          <w:szCs w:val="26"/>
        </w:rPr>
      </w:pPr>
    </w:p>
    <w:p w:rsidR="006C3030" w:rsidRPr="00FC116C" w:rsidRDefault="006C3030" w:rsidP="006C3030">
      <w:pPr>
        <w:suppressAutoHyphens/>
        <w:spacing w:line="360" w:lineRule="auto"/>
        <w:rPr>
          <w:sz w:val="26"/>
          <w:szCs w:val="26"/>
        </w:rPr>
      </w:pPr>
      <w:r>
        <w:rPr>
          <w:sz w:val="26"/>
          <w:szCs w:val="26"/>
        </w:rPr>
        <w:tab/>
      </w:r>
      <w:r>
        <w:rPr>
          <w:sz w:val="26"/>
          <w:szCs w:val="26"/>
        </w:rPr>
        <w:tab/>
      </w:r>
      <w:r w:rsidRPr="00FC116C">
        <w:rPr>
          <w:sz w:val="26"/>
          <w:szCs w:val="26"/>
        </w:rPr>
        <w:t xml:space="preserve">Furthermore, as the General Assembly declared in the preamble of Act 129, “[i]t is in the public interest to adopt energy efficiency and conservation measures and to implement energy procurement requirements designed to ensure that electricity obtained reduces the possibility of electric price instability, promotes economic growth and ensures affordable and available electric service to all residents.”  As </w:t>
      </w:r>
      <w:r>
        <w:rPr>
          <w:sz w:val="26"/>
          <w:szCs w:val="26"/>
        </w:rPr>
        <w:t xml:space="preserve">FirstEnergy’s </w:t>
      </w:r>
      <w:r w:rsidR="006323FA">
        <w:rPr>
          <w:sz w:val="26"/>
          <w:szCs w:val="26"/>
        </w:rPr>
        <w:t>EE&amp;C P</w:t>
      </w:r>
      <w:r w:rsidRPr="00FC116C">
        <w:rPr>
          <w:sz w:val="26"/>
          <w:szCs w:val="26"/>
        </w:rPr>
        <w:t>lan</w:t>
      </w:r>
      <w:r>
        <w:rPr>
          <w:sz w:val="26"/>
          <w:szCs w:val="26"/>
        </w:rPr>
        <w:t>s are</w:t>
      </w:r>
      <w:r w:rsidRPr="00FC116C">
        <w:rPr>
          <w:sz w:val="26"/>
          <w:szCs w:val="26"/>
        </w:rPr>
        <w:t xml:space="preserve"> </w:t>
      </w:r>
      <w:r w:rsidR="00636C5A">
        <w:rPr>
          <w:sz w:val="26"/>
          <w:szCs w:val="26"/>
        </w:rPr>
        <w:t xml:space="preserve">required to be </w:t>
      </w:r>
      <w:r w:rsidRPr="00FC116C">
        <w:rPr>
          <w:sz w:val="26"/>
          <w:szCs w:val="26"/>
        </w:rPr>
        <w:t>in the publ</w:t>
      </w:r>
      <w:r w:rsidR="006323FA">
        <w:rPr>
          <w:sz w:val="26"/>
          <w:szCs w:val="26"/>
        </w:rPr>
        <w:t>ic interest, the costs of such P</w:t>
      </w:r>
      <w:r w:rsidRPr="00FC116C">
        <w:rPr>
          <w:sz w:val="26"/>
          <w:szCs w:val="26"/>
        </w:rPr>
        <w:t>lan</w:t>
      </w:r>
      <w:r>
        <w:rPr>
          <w:sz w:val="26"/>
          <w:szCs w:val="26"/>
        </w:rPr>
        <w:t>s</w:t>
      </w:r>
      <w:r w:rsidRPr="00FC116C">
        <w:rPr>
          <w:sz w:val="26"/>
          <w:szCs w:val="26"/>
        </w:rPr>
        <w:t xml:space="preserve"> must be borne by the public as a whole.  As such, the Commission stands by its interpretation </w:t>
      </w:r>
      <w:r>
        <w:rPr>
          <w:sz w:val="26"/>
          <w:szCs w:val="26"/>
        </w:rPr>
        <w:t xml:space="preserve">of the </w:t>
      </w:r>
      <w:r w:rsidR="00C913F1">
        <w:rPr>
          <w:sz w:val="26"/>
          <w:szCs w:val="26"/>
        </w:rPr>
        <w:t>2%</w:t>
      </w:r>
      <w:r>
        <w:rPr>
          <w:sz w:val="26"/>
          <w:szCs w:val="26"/>
        </w:rPr>
        <w:t xml:space="preserve"> cap </w:t>
      </w:r>
      <w:r w:rsidRPr="00FC116C">
        <w:rPr>
          <w:sz w:val="26"/>
          <w:szCs w:val="26"/>
        </w:rPr>
        <w:t xml:space="preserve">propounded in the </w:t>
      </w:r>
      <w:r w:rsidRPr="003069BA">
        <w:rPr>
          <w:i/>
          <w:sz w:val="26"/>
          <w:szCs w:val="26"/>
        </w:rPr>
        <w:t>Implementation Order</w:t>
      </w:r>
      <w:r w:rsidRPr="00FC116C">
        <w:rPr>
          <w:sz w:val="26"/>
          <w:szCs w:val="26"/>
        </w:rPr>
        <w:t>: that Section 2806.1(g) of the Act must be interpreted as an annual cost limit, not a multi</w:t>
      </w:r>
      <w:r w:rsidRPr="00FC116C">
        <w:rPr>
          <w:sz w:val="26"/>
          <w:szCs w:val="26"/>
        </w:rPr>
        <w:noBreakHyphen/>
        <w:t>year plan cost limit.</w:t>
      </w:r>
    </w:p>
    <w:p w:rsidR="000E0E2E" w:rsidRDefault="000E0E2E" w:rsidP="005B1144">
      <w:pPr>
        <w:spacing w:line="360" w:lineRule="auto"/>
        <w:ind w:firstLine="1440"/>
        <w:rPr>
          <w:sz w:val="26"/>
          <w:szCs w:val="26"/>
        </w:rPr>
      </w:pPr>
    </w:p>
    <w:p w:rsidR="00424F78" w:rsidRDefault="00424F78" w:rsidP="00424F78">
      <w:pPr>
        <w:pStyle w:val="Heading4"/>
      </w:pPr>
      <w:bookmarkStart w:id="138" w:name="_Toc242516285"/>
      <w:bookmarkStart w:id="139" w:name="_Toc244499338"/>
      <w:r>
        <w:t>b.</w:t>
      </w:r>
      <w:r>
        <w:tab/>
      </w:r>
      <w:r w:rsidR="00E500B0">
        <w:t xml:space="preserve">The Cost of the </w:t>
      </w:r>
      <w:r>
        <w:t>Statewide Evaluator</w:t>
      </w:r>
      <w:bookmarkEnd w:id="138"/>
      <w:bookmarkEnd w:id="139"/>
    </w:p>
    <w:p w:rsidR="007C3E82" w:rsidRDefault="007C3E82" w:rsidP="005B1144">
      <w:pPr>
        <w:spacing w:line="360" w:lineRule="auto"/>
        <w:ind w:firstLine="1440"/>
        <w:rPr>
          <w:sz w:val="26"/>
          <w:szCs w:val="26"/>
        </w:rPr>
      </w:pPr>
    </w:p>
    <w:p w:rsidR="009470C5" w:rsidRDefault="009470C5" w:rsidP="009470C5">
      <w:pPr>
        <w:pStyle w:val="Heading5"/>
      </w:pPr>
      <w:bookmarkStart w:id="140" w:name="_Toc242516286"/>
      <w:bookmarkStart w:id="141" w:name="_Toc244499339"/>
      <w:r>
        <w:t>(1)</w:t>
      </w:r>
      <w:r>
        <w:tab/>
        <w:t>Positions of the Parties</w:t>
      </w:r>
      <w:bookmarkEnd w:id="140"/>
      <w:bookmarkEnd w:id="141"/>
    </w:p>
    <w:p w:rsidR="00B56534" w:rsidRDefault="00B56534" w:rsidP="00B56534">
      <w:pPr>
        <w:pStyle w:val="BodyText2"/>
        <w:widowControl w:val="0"/>
        <w:spacing w:line="360" w:lineRule="auto"/>
        <w:ind w:firstLine="1440"/>
        <w:jc w:val="left"/>
        <w:rPr>
          <w:sz w:val="26"/>
          <w:szCs w:val="26"/>
        </w:rPr>
      </w:pPr>
    </w:p>
    <w:p w:rsidR="00B56534" w:rsidRDefault="00B56534" w:rsidP="00B56534">
      <w:pPr>
        <w:pStyle w:val="BodyText2"/>
        <w:widowControl w:val="0"/>
        <w:spacing w:line="360" w:lineRule="auto"/>
        <w:ind w:firstLine="1440"/>
        <w:jc w:val="left"/>
        <w:rPr>
          <w:sz w:val="26"/>
          <w:szCs w:val="26"/>
        </w:rPr>
      </w:pPr>
      <w:r>
        <w:rPr>
          <w:sz w:val="26"/>
          <w:szCs w:val="26"/>
        </w:rPr>
        <w:t>FirstEnergy has proposed the implementation of an Energy Efficiency and Conservation Charge (EEC-C) Rider for each of the three</w:t>
      </w:r>
      <w:r w:rsidR="00AB2F18">
        <w:rPr>
          <w:sz w:val="26"/>
          <w:szCs w:val="26"/>
        </w:rPr>
        <w:t xml:space="preserve"> Companies.  FirstEnergy St.</w:t>
      </w:r>
      <w:r w:rsidR="006E7624">
        <w:rPr>
          <w:sz w:val="26"/>
          <w:szCs w:val="26"/>
        </w:rPr>
        <w:t xml:space="preserve"> 3 at </w:t>
      </w:r>
      <w:r>
        <w:rPr>
          <w:sz w:val="26"/>
          <w:szCs w:val="26"/>
        </w:rPr>
        <w:t>3.  These</w:t>
      </w:r>
      <w:r w:rsidRPr="00D31110">
        <w:rPr>
          <w:sz w:val="26"/>
          <w:szCs w:val="26"/>
        </w:rPr>
        <w:t xml:space="preserve"> </w:t>
      </w:r>
      <w:r>
        <w:rPr>
          <w:sz w:val="26"/>
          <w:szCs w:val="26"/>
        </w:rPr>
        <w:t xml:space="preserve">EEC-C Riders </w:t>
      </w:r>
      <w:r w:rsidRPr="00D31110">
        <w:rPr>
          <w:sz w:val="26"/>
          <w:szCs w:val="26"/>
        </w:rPr>
        <w:t>ha</w:t>
      </w:r>
      <w:r>
        <w:rPr>
          <w:sz w:val="26"/>
          <w:szCs w:val="26"/>
        </w:rPr>
        <w:t>ve</w:t>
      </w:r>
      <w:r w:rsidRPr="00D31110">
        <w:rPr>
          <w:sz w:val="26"/>
          <w:szCs w:val="26"/>
        </w:rPr>
        <w:t xml:space="preserve"> </w:t>
      </w:r>
      <w:r>
        <w:rPr>
          <w:sz w:val="26"/>
          <w:szCs w:val="26"/>
        </w:rPr>
        <w:t>been designed to recover</w:t>
      </w:r>
      <w:r w:rsidRPr="00D31110">
        <w:rPr>
          <w:sz w:val="26"/>
          <w:szCs w:val="26"/>
        </w:rPr>
        <w:t xml:space="preserve"> </w:t>
      </w:r>
      <w:r>
        <w:rPr>
          <w:sz w:val="26"/>
          <w:szCs w:val="26"/>
        </w:rPr>
        <w:t xml:space="preserve">each Company’s estimated </w:t>
      </w:r>
      <w:r>
        <w:rPr>
          <w:sz w:val="26"/>
          <w:szCs w:val="26"/>
        </w:rPr>
        <w:lastRenderedPageBreak/>
        <w:t xml:space="preserve">share of the </w:t>
      </w:r>
      <w:r w:rsidR="006323FA">
        <w:rPr>
          <w:sz w:val="26"/>
          <w:szCs w:val="26"/>
        </w:rPr>
        <w:t>S</w:t>
      </w:r>
      <w:r>
        <w:rPr>
          <w:sz w:val="26"/>
          <w:szCs w:val="26"/>
        </w:rPr>
        <w:t xml:space="preserve">tatewide </w:t>
      </w:r>
      <w:r w:rsidR="006323FA">
        <w:rPr>
          <w:sz w:val="26"/>
          <w:szCs w:val="26"/>
        </w:rPr>
        <w:t>E</w:t>
      </w:r>
      <w:r>
        <w:rPr>
          <w:sz w:val="26"/>
          <w:szCs w:val="26"/>
        </w:rPr>
        <w:t>valuator</w:t>
      </w:r>
      <w:r w:rsidRPr="00D31110">
        <w:rPr>
          <w:sz w:val="26"/>
          <w:szCs w:val="26"/>
        </w:rPr>
        <w:t xml:space="preserve"> cost.</w:t>
      </w:r>
      <w:r>
        <w:rPr>
          <w:sz w:val="26"/>
          <w:szCs w:val="26"/>
        </w:rPr>
        <w:t xml:space="preserve">  The Companies, </w:t>
      </w:r>
      <w:r w:rsidR="006323FA">
        <w:rPr>
          <w:sz w:val="26"/>
          <w:szCs w:val="26"/>
        </w:rPr>
        <w:t>however, have not included the S</w:t>
      </w:r>
      <w:r>
        <w:rPr>
          <w:sz w:val="26"/>
          <w:szCs w:val="26"/>
        </w:rPr>
        <w:t>tate</w:t>
      </w:r>
      <w:r w:rsidR="009552D4">
        <w:rPr>
          <w:sz w:val="26"/>
          <w:szCs w:val="26"/>
        </w:rPr>
        <w:t>wide</w:t>
      </w:r>
      <w:r w:rsidR="006323FA">
        <w:rPr>
          <w:sz w:val="26"/>
          <w:szCs w:val="26"/>
        </w:rPr>
        <w:t xml:space="preserve"> E</w:t>
      </w:r>
      <w:r>
        <w:rPr>
          <w:sz w:val="26"/>
          <w:szCs w:val="26"/>
        </w:rPr>
        <w:t xml:space="preserve">valuator costs in the final determination of the </w:t>
      </w:r>
      <w:r w:rsidR="00C913F1">
        <w:rPr>
          <w:sz w:val="26"/>
          <w:szCs w:val="26"/>
        </w:rPr>
        <w:t>2%</w:t>
      </w:r>
      <w:r>
        <w:rPr>
          <w:sz w:val="26"/>
          <w:szCs w:val="26"/>
        </w:rPr>
        <w:t xml:space="preserve"> </w:t>
      </w:r>
      <w:r w:rsidR="00AB2F18">
        <w:rPr>
          <w:sz w:val="26"/>
          <w:szCs w:val="26"/>
        </w:rPr>
        <w:t>limitation.  FirstEnergy St.</w:t>
      </w:r>
      <w:r w:rsidR="006E7624">
        <w:rPr>
          <w:sz w:val="26"/>
          <w:szCs w:val="26"/>
        </w:rPr>
        <w:t xml:space="preserve"> 3 </w:t>
      </w:r>
      <w:r>
        <w:rPr>
          <w:sz w:val="26"/>
          <w:szCs w:val="26"/>
        </w:rPr>
        <w:t>at 9.</w:t>
      </w:r>
      <w:r w:rsidRPr="00D31110">
        <w:rPr>
          <w:sz w:val="26"/>
          <w:szCs w:val="26"/>
        </w:rPr>
        <w:t xml:space="preserve">  </w:t>
      </w:r>
    </w:p>
    <w:p w:rsidR="00B56534" w:rsidRDefault="00B56534" w:rsidP="00B56534">
      <w:pPr>
        <w:pStyle w:val="BodyText2"/>
        <w:widowControl w:val="0"/>
        <w:spacing w:line="360" w:lineRule="auto"/>
        <w:ind w:firstLine="1440"/>
        <w:jc w:val="left"/>
        <w:rPr>
          <w:sz w:val="26"/>
          <w:szCs w:val="26"/>
        </w:rPr>
      </w:pPr>
    </w:p>
    <w:p w:rsidR="00B56534" w:rsidRDefault="00B56534" w:rsidP="00B56534">
      <w:pPr>
        <w:pStyle w:val="BodyText2"/>
        <w:widowControl w:val="0"/>
        <w:spacing w:line="360" w:lineRule="auto"/>
        <w:ind w:firstLine="1440"/>
        <w:jc w:val="left"/>
        <w:rPr>
          <w:sz w:val="26"/>
          <w:szCs w:val="26"/>
        </w:rPr>
      </w:pPr>
      <w:r>
        <w:rPr>
          <w:sz w:val="26"/>
          <w:szCs w:val="26"/>
        </w:rPr>
        <w:t xml:space="preserve">FirstEnergy argues that the </w:t>
      </w:r>
      <w:r w:rsidR="006323FA">
        <w:rPr>
          <w:sz w:val="26"/>
          <w:szCs w:val="26"/>
        </w:rPr>
        <w:t>S</w:t>
      </w:r>
      <w:r>
        <w:rPr>
          <w:sz w:val="26"/>
          <w:szCs w:val="26"/>
        </w:rPr>
        <w:t xml:space="preserve">tatewide </w:t>
      </w:r>
      <w:r w:rsidR="006323FA">
        <w:rPr>
          <w:sz w:val="26"/>
          <w:szCs w:val="26"/>
        </w:rPr>
        <w:t>E</w:t>
      </w:r>
      <w:r>
        <w:rPr>
          <w:sz w:val="26"/>
          <w:szCs w:val="26"/>
        </w:rPr>
        <w:t xml:space="preserve">valuator expense is not a cost of </w:t>
      </w:r>
      <w:r w:rsidR="006323FA">
        <w:rPr>
          <w:sz w:val="26"/>
          <w:szCs w:val="26"/>
        </w:rPr>
        <w:t>the Companies’ individual EE&amp;C P</w:t>
      </w:r>
      <w:r>
        <w:rPr>
          <w:sz w:val="26"/>
          <w:szCs w:val="26"/>
        </w:rPr>
        <w:t>lans</w:t>
      </w:r>
      <w:r w:rsidR="009552D4">
        <w:rPr>
          <w:sz w:val="26"/>
          <w:szCs w:val="26"/>
        </w:rPr>
        <w:t>,</w:t>
      </w:r>
      <w:r>
        <w:rPr>
          <w:sz w:val="26"/>
          <w:szCs w:val="26"/>
        </w:rPr>
        <w:t xml:space="preserve"> but</w:t>
      </w:r>
      <w:r w:rsidR="009552D4">
        <w:rPr>
          <w:sz w:val="26"/>
          <w:szCs w:val="26"/>
        </w:rPr>
        <w:t xml:space="preserve"> rather</w:t>
      </w:r>
      <w:r>
        <w:rPr>
          <w:sz w:val="26"/>
          <w:szCs w:val="26"/>
        </w:rPr>
        <w:t xml:space="preserve"> a cost of the overall Commission EE&amp;C Program.  The Act states that the Commission may recover the costs of implementing its EE&amp;C Program from the EDCs.  66 Pa. C.S. § 2806(h).  Reasonable estimates of these costs are not available but it is FirstEnergy’s understanding that these costs will be allocated to each EDC on a time and materials basis.  FirstEnergy contends that, because the Companies do not have the ability to manage these costs and do not know the exact magnitude of the costs, they should not be required to include these costs as part of their </w:t>
      </w:r>
      <w:r w:rsidR="00AB2F18">
        <w:rPr>
          <w:sz w:val="26"/>
          <w:szCs w:val="26"/>
        </w:rPr>
        <w:t>EE&amp;C Plans.  FirstEnergy St.</w:t>
      </w:r>
      <w:r>
        <w:rPr>
          <w:sz w:val="26"/>
          <w:szCs w:val="26"/>
        </w:rPr>
        <w:t xml:space="preserve"> 3 at 8-9; FirstEnergy MB at</w:t>
      </w:r>
      <w:r w:rsidRPr="00581D86">
        <w:rPr>
          <w:sz w:val="26"/>
          <w:szCs w:val="26"/>
        </w:rPr>
        <w:t xml:space="preserve"> </w:t>
      </w:r>
      <w:r>
        <w:rPr>
          <w:sz w:val="26"/>
          <w:szCs w:val="26"/>
        </w:rPr>
        <w:t>42. Therefore, i</w:t>
      </w:r>
      <w:r w:rsidRPr="00D31110">
        <w:rPr>
          <w:sz w:val="26"/>
          <w:szCs w:val="26"/>
        </w:rPr>
        <w:t xml:space="preserve">t is </w:t>
      </w:r>
      <w:r>
        <w:rPr>
          <w:sz w:val="26"/>
          <w:szCs w:val="26"/>
        </w:rPr>
        <w:t>FirstEnergy’s</w:t>
      </w:r>
      <w:r w:rsidRPr="00D31110">
        <w:rPr>
          <w:sz w:val="26"/>
          <w:szCs w:val="26"/>
        </w:rPr>
        <w:t xml:space="preserve"> view</w:t>
      </w:r>
      <w:r>
        <w:rPr>
          <w:sz w:val="26"/>
          <w:szCs w:val="26"/>
        </w:rPr>
        <w:t xml:space="preserve"> </w:t>
      </w:r>
      <w:r w:rsidR="006323FA">
        <w:rPr>
          <w:sz w:val="26"/>
          <w:szCs w:val="26"/>
        </w:rPr>
        <w:t>that the cost of the Statewide E</w:t>
      </w:r>
      <w:r w:rsidRPr="00D31110">
        <w:rPr>
          <w:sz w:val="26"/>
          <w:szCs w:val="26"/>
        </w:rPr>
        <w:t xml:space="preserve">valuator </w:t>
      </w:r>
      <w:r>
        <w:rPr>
          <w:sz w:val="26"/>
          <w:szCs w:val="26"/>
        </w:rPr>
        <w:t xml:space="preserve">are not part of their Plans’ costs </w:t>
      </w:r>
      <w:r w:rsidR="000177E9">
        <w:rPr>
          <w:sz w:val="26"/>
          <w:szCs w:val="26"/>
        </w:rPr>
        <w:t xml:space="preserve">and </w:t>
      </w:r>
      <w:r w:rsidRPr="00D31110">
        <w:rPr>
          <w:sz w:val="26"/>
          <w:szCs w:val="26"/>
        </w:rPr>
        <w:t xml:space="preserve">should not be subject to the </w:t>
      </w:r>
      <w:r w:rsidR="00C913F1">
        <w:rPr>
          <w:sz w:val="26"/>
          <w:szCs w:val="26"/>
        </w:rPr>
        <w:t>2%</w:t>
      </w:r>
      <w:r>
        <w:rPr>
          <w:sz w:val="26"/>
          <w:szCs w:val="26"/>
        </w:rPr>
        <w:t xml:space="preserve"> spending limitation previously discussed.</w:t>
      </w:r>
      <w:r w:rsidRPr="00D31110">
        <w:rPr>
          <w:sz w:val="26"/>
          <w:szCs w:val="26"/>
        </w:rPr>
        <w:t xml:space="preserve"> </w:t>
      </w:r>
    </w:p>
    <w:p w:rsidR="00B56534" w:rsidRDefault="00B56534" w:rsidP="00B56534">
      <w:pPr>
        <w:pStyle w:val="BodyText2"/>
        <w:widowControl w:val="0"/>
        <w:spacing w:line="360" w:lineRule="auto"/>
        <w:ind w:firstLine="1440"/>
        <w:jc w:val="left"/>
        <w:rPr>
          <w:sz w:val="26"/>
          <w:szCs w:val="26"/>
        </w:rPr>
      </w:pPr>
      <w:r w:rsidRPr="00D31110">
        <w:rPr>
          <w:sz w:val="26"/>
          <w:szCs w:val="26"/>
        </w:rPr>
        <w:t xml:space="preserve"> </w:t>
      </w:r>
    </w:p>
    <w:p w:rsidR="00B56534" w:rsidRDefault="00B56534" w:rsidP="00B56534">
      <w:pPr>
        <w:spacing w:line="360" w:lineRule="auto"/>
        <w:ind w:firstLine="1440"/>
        <w:rPr>
          <w:sz w:val="26"/>
          <w:szCs w:val="26"/>
        </w:rPr>
      </w:pPr>
      <w:r w:rsidRPr="007E2BCA">
        <w:rPr>
          <w:sz w:val="26"/>
          <w:szCs w:val="26"/>
        </w:rPr>
        <w:t xml:space="preserve">The OTS </w:t>
      </w:r>
      <w:r w:rsidRPr="00856C49">
        <w:rPr>
          <w:sz w:val="26"/>
          <w:szCs w:val="26"/>
        </w:rPr>
        <w:t xml:space="preserve">maintains that </w:t>
      </w:r>
      <w:r>
        <w:rPr>
          <w:sz w:val="26"/>
          <w:szCs w:val="26"/>
        </w:rPr>
        <w:t xml:space="preserve">FirstEnergy erred in excluding the </w:t>
      </w:r>
      <w:r w:rsidR="006323FA">
        <w:rPr>
          <w:sz w:val="26"/>
          <w:szCs w:val="26"/>
        </w:rPr>
        <w:t>Statewide E</w:t>
      </w:r>
      <w:r>
        <w:rPr>
          <w:sz w:val="26"/>
          <w:szCs w:val="26"/>
        </w:rPr>
        <w:t>valuator cost from its</w:t>
      </w:r>
      <w:r w:rsidRPr="00856C49">
        <w:rPr>
          <w:sz w:val="26"/>
          <w:szCs w:val="26"/>
        </w:rPr>
        <w:t xml:space="preserve"> </w:t>
      </w:r>
      <w:r w:rsidR="00C913F1">
        <w:rPr>
          <w:sz w:val="26"/>
          <w:szCs w:val="26"/>
        </w:rPr>
        <w:t>2%</w:t>
      </w:r>
      <w:r w:rsidRPr="00856C49">
        <w:rPr>
          <w:sz w:val="26"/>
          <w:szCs w:val="26"/>
        </w:rPr>
        <w:t xml:space="preserve"> </w:t>
      </w:r>
      <w:r>
        <w:rPr>
          <w:sz w:val="26"/>
          <w:szCs w:val="26"/>
        </w:rPr>
        <w:t xml:space="preserve">spending </w:t>
      </w:r>
      <w:r w:rsidRPr="00856C49">
        <w:rPr>
          <w:sz w:val="26"/>
          <w:szCs w:val="26"/>
        </w:rPr>
        <w:t>cap.</w:t>
      </w:r>
      <w:r w:rsidR="00AB2F18">
        <w:rPr>
          <w:sz w:val="26"/>
          <w:szCs w:val="26"/>
        </w:rPr>
        <w:t xml:space="preserve">  OTS MB at 18; OTS St.</w:t>
      </w:r>
      <w:r>
        <w:rPr>
          <w:sz w:val="26"/>
          <w:szCs w:val="26"/>
        </w:rPr>
        <w:t xml:space="preserve"> 1 at 23-25.</w:t>
      </w:r>
      <w:r w:rsidRPr="00856C49">
        <w:rPr>
          <w:sz w:val="26"/>
          <w:szCs w:val="26"/>
        </w:rPr>
        <w:t xml:space="preserve">  </w:t>
      </w:r>
      <w:r>
        <w:rPr>
          <w:sz w:val="26"/>
          <w:szCs w:val="26"/>
        </w:rPr>
        <w:t xml:space="preserve">The OTS states that the only cost exclusion from the </w:t>
      </w:r>
      <w:r w:rsidR="00C913F1">
        <w:rPr>
          <w:sz w:val="26"/>
          <w:szCs w:val="26"/>
        </w:rPr>
        <w:t>2%</w:t>
      </w:r>
      <w:r>
        <w:rPr>
          <w:sz w:val="26"/>
          <w:szCs w:val="26"/>
        </w:rPr>
        <w:t xml:space="preserve"> maximum is the cost</w:t>
      </w:r>
      <w:r w:rsidR="00AB2F18">
        <w:rPr>
          <w:sz w:val="26"/>
          <w:szCs w:val="26"/>
        </w:rPr>
        <w:t xml:space="preserve"> of LIURP programs.  OTS St.</w:t>
      </w:r>
      <w:r>
        <w:rPr>
          <w:sz w:val="26"/>
          <w:szCs w:val="26"/>
        </w:rPr>
        <w:t xml:space="preserve"> 1 at 25.  Therefore, the </w:t>
      </w:r>
      <w:r w:rsidRPr="00856C49">
        <w:rPr>
          <w:sz w:val="26"/>
          <w:szCs w:val="26"/>
        </w:rPr>
        <w:t xml:space="preserve">OTS </w:t>
      </w:r>
      <w:r>
        <w:rPr>
          <w:sz w:val="26"/>
          <w:szCs w:val="26"/>
        </w:rPr>
        <w:t>argues</w:t>
      </w:r>
      <w:r w:rsidRPr="00856C49">
        <w:rPr>
          <w:sz w:val="26"/>
          <w:szCs w:val="26"/>
        </w:rPr>
        <w:t xml:space="preserve"> that the </w:t>
      </w:r>
      <w:r>
        <w:rPr>
          <w:sz w:val="26"/>
          <w:szCs w:val="26"/>
        </w:rPr>
        <w:t xml:space="preserve">cost of the </w:t>
      </w:r>
      <w:r w:rsidR="006323FA">
        <w:rPr>
          <w:sz w:val="26"/>
          <w:szCs w:val="26"/>
        </w:rPr>
        <w:t>S</w:t>
      </w:r>
      <w:r w:rsidRPr="00856C49">
        <w:rPr>
          <w:sz w:val="26"/>
          <w:szCs w:val="26"/>
        </w:rPr>
        <w:t xml:space="preserve">tatewide </w:t>
      </w:r>
      <w:r w:rsidR="006323FA">
        <w:rPr>
          <w:sz w:val="26"/>
          <w:szCs w:val="26"/>
        </w:rPr>
        <w:t>E</w:t>
      </w:r>
      <w:r w:rsidRPr="00856C49">
        <w:rPr>
          <w:sz w:val="26"/>
          <w:szCs w:val="26"/>
        </w:rPr>
        <w:t xml:space="preserve">valuator is an ongoing Plan cost that should be included within the </w:t>
      </w:r>
      <w:r w:rsidR="00C913F1">
        <w:rPr>
          <w:sz w:val="26"/>
          <w:szCs w:val="26"/>
        </w:rPr>
        <w:t xml:space="preserve">2% </w:t>
      </w:r>
      <w:r>
        <w:rPr>
          <w:sz w:val="26"/>
          <w:szCs w:val="26"/>
        </w:rPr>
        <w:t>cap.  OTS MB at 19.</w:t>
      </w:r>
    </w:p>
    <w:p w:rsidR="00B56534" w:rsidRDefault="00B56534" w:rsidP="00B56534">
      <w:pPr>
        <w:spacing w:line="360" w:lineRule="auto"/>
        <w:ind w:firstLine="1440"/>
        <w:rPr>
          <w:sz w:val="26"/>
          <w:szCs w:val="26"/>
        </w:rPr>
      </w:pPr>
    </w:p>
    <w:p w:rsidR="00B56534" w:rsidRPr="00EF3040" w:rsidRDefault="00B56534" w:rsidP="00B56534">
      <w:pPr>
        <w:pStyle w:val="BodyText2"/>
        <w:spacing w:line="360" w:lineRule="auto"/>
        <w:ind w:firstLine="1440"/>
        <w:jc w:val="left"/>
        <w:rPr>
          <w:sz w:val="26"/>
          <w:szCs w:val="26"/>
        </w:rPr>
      </w:pPr>
      <w:r>
        <w:rPr>
          <w:sz w:val="26"/>
          <w:szCs w:val="26"/>
        </w:rPr>
        <w:t>The OTS also asserts that FirstEner</w:t>
      </w:r>
      <w:r w:rsidR="006323FA">
        <w:rPr>
          <w:sz w:val="26"/>
          <w:szCs w:val="26"/>
        </w:rPr>
        <w:t>gy’s proposed treatment of the Statewide E</w:t>
      </w:r>
      <w:r>
        <w:rPr>
          <w:sz w:val="26"/>
          <w:szCs w:val="26"/>
        </w:rPr>
        <w:t>valuator cost as extraneous and unrelated to its statutory duties is contrary to the requirements of the Act.  OTS RB at 7.  Specifically, the OTS states the Act requires that each EE&amp;C plan shall require an annual independent evaluation of its cost effectiveness and a full review of the results of each five-yea</w:t>
      </w:r>
      <w:r w:rsidR="00D27A35">
        <w:rPr>
          <w:sz w:val="26"/>
          <w:szCs w:val="26"/>
        </w:rPr>
        <w:t>r plan.  OTS RB at 7; 66 Pa. C.</w:t>
      </w:r>
      <w:r>
        <w:rPr>
          <w:sz w:val="26"/>
          <w:szCs w:val="26"/>
        </w:rPr>
        <w:t xml:space="preserve">S. § 2806.1(b)(1)(i)(J).  This requirement, according to the OTS, places a duty on each </w:t>
      </w:r>
      <w:r>
        <w:rPr>
          <w:sz w:val="26"/>
          <w:szCs w:val="26"/>
        </w:rPr>
        <w:lastRenderedPageBreak/>
        <w:t>EDC to arrange for annual and five-year independent r</w:t>
      </w:r>
      <w:r w:rsidR="006E7624">
        <w:rPr>
          <w:sz w:val="26"/>
          <w:szCs w:val="26"/>
        </w:rPr>
        <w:t>eviews.  OTS RB at 8; OTS MB at </w:t>
      </w:r>
      <w:r>
        <w:rPr>
          <w:sz w:val="26"/>
          <w:szCs w:val="26"/>
        </w:rPr>
        <w:t>20.</w:t>
      </w:r>
      <w:r w:rsidR="006E7624">
        <w:rPr>
          <w:sz w:val="26"/>
          <w:szCs w:val="26"/>
        </w:rPr>
        <w:t xml:space="preserve">  </w:t>
      </w:r>
    </w:p>
    <w:p w:rsidR="00B56534" w:rsidRDefault="00B56534" w:rsidP="00B56534">
      <w:pPr>
        <w:pStyle w:val="BodyText2"/>
        <w:spacing w:line="360" w:lineRule="auto"/>
        <w:ind w:firstLine="1440"/>
        <w:jc w:val="left"/>
        <w:rPr>
          <w:sz w:val="26"/>
          <w:szCs w:val="26"/>
        </w:rPr>
      </w:pPr>
    </w:p>
    <w:p w:rsidR="00B56534" w:rsidRDefault="00B56534" w:rsidP="00B56534">
      <w:pPr>
        <w:spacing w:line="360" w:lineRule="auto"/>
        <w:ind w:firstLine="1440"/>
        <w:rPr>
          <w:sz w:val="26"/>
          <w:szCs w:val="26"/>
        </w:rPr>
      </w:pPr>
      <w:r>
        <w:rPr>
          <w:sz w:val="26"/>
          <w:szCs w:val="26"/>
        </w:rPr>
        <w:t xml:space="preserve">The OTS also notes that the </w:t>
      </w:r>
      <w:r w:rsidRPr="00623447">
        <w:rPr>
          <w:sz w:val="26"/>
          <w:szCs w:val="26"/>
        </w:rPr>
        <w:t xml:space="preserve">Act provides that an EDC can recover all prudent and reasonable costs related to the provision of its </w:t>
      </w:r>
      <w:r>
        <w:rPr>
          <w:sz w:val="26"/>
          <w:szCs w:val="26"/>
        </w:rPr>
        <w:t xml:space="preserve">EE&amp;C Plan, subject to the </w:t>
      </w:r>
      <w:r w:rsidR="00C913F1">
        <w:rPr>
          <w:sz w:val="26"/>
          <w:szCs w:val="26"/>
        </w:rPr>
        <w:t>2%</w:t>
      </w:r>
      <w:r>
        <w:rPr>
          <w:sz w:val="26"/>
          <w:szCs w:val="26"/>
        </w:rPr>
        <w:t xml:space="preserve"> spending cap.  T</w:t>
      </w:r>
      <w:r w:rsidRPr="00623447">
        <w:rPr>
          <w:sz w:val="26"/>
          <w:szCs w:val="26"/>
        </w:rPr>
        <w:t xml:space="preserve">he Commission’s </w:t>
      </w:r>
      <w:r w:rsidRPr="00F51E30">
        <w:rPr>
          <w:i/>
          <w:sz w:val="26"/>
          <w:szCs w:val="26"/>
        </w:rPr>
        <w:t>Implementation Order</w:t>
      </w:r>
      <w:r w:rsidRPr="00623447">
        <w:rPr>
          <w:sz w:val="26"/>
          <w:szCs w:val="26"/>
        </w:rPr>
        <w:t xml:space="preserve"> maintains that such recoverable costs would include capital expenditures and related administrative costs.</w:t>
      </w:r>
      <w:r>
        <w:rPr>
          <w:sz w:val="26"/>
          <w:szCs w:val="26"/>
        </w:rPr>
        <w:t xml:space="preserve">  </w:t>
      </w:r>
      <w:r>
        <w:rPr>
          <w:i/>
          <w:sz w:val="26"/>
          <w:szCs w:val="26"/>
        </w:rPr>
        <w:t xml:space="preserve">Implementation Order </w:t>
      </w:r>
      <w:r>
        <w:rPr>
          <w:sz w:val="26"/>
          <w:szCs w:val="26"/>
        </w:rPr>
        <w:t>at</w:t>
      </w:r>
      <w:r w:rsidRPr="00182DF0">
        <w:rPr>
          <w:sz w:val="26"/>
          <w:szCs w:val="26"/>
        </w:rPr>
        <w:t xml:space="preserve"> 32</w:t>
      </w:r>
      <w:r w:rsidR="00D27A35">
        <w:rPr>
          <w:sz w:val="26"/>
          <w:szCs w:val="26"/>
        </w:rPr>
        <w:t>-</w:t>
      </w:r>
      <w:r w:rsidRPr="00182DF0">
        <w:rPr>
          <w:sz w:val="26"/>
          <w:szCs w:val="26"/>
        </w:rPr>
        <w:t>33</w:t>
      </w:r>
      <w:r>
        <w:rPr>
          <w:i/>
          <w:sz w:val="26"/>
          <w:szCs w:val="26"/>
        </w:rPr>
        <w:t xml:space="preserve">; </w:t>
      </w:r>
      <w:r w:rsidR="00AB2F18">
        <w:rPr>
          <w:sz w:val="26"/>
          <w:szCs w:val="26"/>
        </w:rPr>
        <w:t>OTS MB at 17; OTS St.</w:t>
      </w:r>
      <w:r>
        <w:rPr>
          <w:sz w:val="26"/>
          <w:szCs w:val="26"/>
        </w:rPr>
        <w:t xml:space="preserve"> 1 at 23-25.</w:t>
      </w:r>
      <w:r w:rsidRPr="00623447">
        <w:rPr>
          <w:sz w:val="26"/>
          <w:szCs w:val="26"/>
        </w:rPr>
        <w:t xml:space="preserve">  </w:t>
      </w:r>
    </w:p>
    <w:p w:rsidR="00B56534" w:rsidRDefault="00B56534" w:rsidP="00B56534">
      <w:pPr>
        <w:pStyle w:val="BodyText2"/>
        <w:spacing w:line="360" w:lineRule="auto"/>
        <w:ind w:firstLine="1440"/>
        <w:jc w:val="left"/>
        <w:rPr>
          <w:sz w:val="26"/>
          <w:szCs w:val="26"/>
        </w:rPr>
      </w:pPr>
    </w:p>
    <w:p w:rsidR="00B56534" w:rsidRDefault="00B56534" w:rsidP="00B56534">
      <w:pPr>
        <w:pStyle w:val="BodyText2"/>
        <w:spacing w:line="360" w:lineRule="auto"/>
        <w:ind w:firstLine="1440"/>
        <w:jc w:val="left"/>
        <w:rPr>
          <w:sz w:val="26"/>
          <w:szCs w:val="26"/>
        </w:rPr>
      </w:pPr>
      <w:r>
        <w:rPr>
          <w:sz w:val="26"/>
          <w:szCs w:val="26"/>
        </w:rPr>
        <w:t xml:space="preserve">The OCA states that, pursuant to Section 2806.1(g) of the Act, the cost of the </w:t>
      </w:r>
      <w:r w:rsidR="006323FA">
        <w:rPr>
          <w:sz w:val="26"/>
          <w:szCs w:val="26"/>
        </w:rPr>
        <w:t>Statewide E</w:t>
      </w:r>
      <w:r>
        <w:rPr>
          <w:sz w:val="26"/>
          <w:szCs w:val="26"/>
        </w:rPr>
        <w:t xml:space="preserve">valuator represents a necessary core cost of evaluating the Companies’ Plans and must be included under the </w:t>
      </w:r>
      <w:r w:rsidR="00C913F1">
        <w:rPr>
          <w:sz w:val="26"/>
          <w:szCs w:val="26"/>
        </w:rPr>
        <w:t>2%</w:t>
      </w:r>
      <w:r>
        <w:rPr>
          <w:sz w:val="26"/>
          <w:szCs w:val="26"/>
        </w:rPr>
        <w:t xml:space="preserve"> spending cap.  OCA MB at 41; O</w:t>
      </w:r>
      <w:r w:rsidR="00AB2F18">
        <w:rPr>
          <w:sz w:val="26"/>
          <w:szCs w:val="26"/>
        </w:rPr>
        <w:t>CA St.</w:t>
      </w:r>
      <w:r w:rsidR="006E7624">
        <w:rPr>
          <w:sz w:val="26"/>
          <w:szCs w:val="26"/>
        </w:rPr>
        <w:t xml:space="preserve"> 1 at </w:t>
      </w:r>
      <w:r>
        <w:rPr>
          <w:sz w:val="26"/>
          <w:szCs w:val="26"/>
        </w:rPr>
        <w:t>39.  T</w:t>
      </w:r>
      <w:r w:rsidRPr="00581D86">
        <w:rPr>
          <w:sz w:val="26"/>
          <w:szCs w:val="26"/>
        </w:rPr>
        <w:t xml:space="preserve">he OCA submits that </w:t>
      </w:r>
      <w:r>
        <w:rPr>
          <w:sz w:val="26"/>
          <w:szCs w:val="26"/>
        </w:rPr>
        <w:t>FirstEnergy</w:t>
      </w:r>
      <w:r w:rsidRPr="00581D86">
        <w:rPr>
          <w:sz w:val="26"/>
          <w:szCs w:val="26"/>
        </w:rPr>
        <w:t xml:space="preserve">’s reading of the statute is incorrect.  The </w:t>
      </w:r>
      <w:r>
        <w:rPr>
          <w:sz w:val="26"/>
          <w:szCs w:val="26"/>
        </w:rPr>
        <w:t xml:space="preserve">OCA posits that the </w:t>
      </w:r>
      <w:r w:rsidR="006323FA">
        <w:rPr>
          <w:sz w:val="26"/>
          <w:szCs w:val="26"/>
        </w:rPr>
        <w:t>Statewide E</w:t>
      </w:r>
      <w:r w:rsidRPr="00581D86">
        <w:rPr>
          <w:sz w:val="26"/>
          <w:szCs w:val="26"/>
        </w:rPr>
        <w:t xml:space="preserve">valuator </w:t>
      </w:r>
      <w:r>
        <w:rPr>
          <w:sz w:val="26"/>
          <w:szCs w:val="26"/>
        </w:rPr>
        <w:t>expense is</w:t>
      </w:r>
      <w:r w:rsidRPr="00581D86">
        <w:rPr>
          <w:sz w:val="26"/>
          <w:szCs w:val="26"/>
        </w:rPr>
        <w:t xml:space="preserve"> a necessary component of the measurement, evaluation and verification needed to ensure that the Plan complies with Act 129.</w:t>
      </w:r>
      <w:r>
        <w:rPr>
          <w:sz w:val="26"/>
          <w:szCs w:val="26"/>
        </w:rPr>
        <w:t xml:space="preserve">  OCA RB at 9.</w:t>
      </w:r>
      <w:r w:rsidRPr="00581D86">
        <w:rPr>
          <w:sz w:val="26"/>
          <w:szCs w:val="26"/>
        </w:rPr>
        <w:t xml:space="preserve">  </w:t>
      </w:r>
      <w:r>
        <w:rPr>
          <w:sz w:val="26"/>
          <w:szCs w:val="26"/>
        </w:rPr>
        <w:t xml:space="preserve">The OCA notes that </w:t>
      </w:r>
      <w:r w:rsidRPr="00581D86">
        <w:rPr>
          <w:sz w:val="26"/>
          <w:szCs w:val="26"/>
        </w:rPr>
        <w:t>Section 2806.1(a)(2) of the Act, 66 Pa.</w:t>
      </w:r>
      <w:r>
        <w:rPr>
          <w:sz w:val="26"/>
          <w:szCs w:val="26"/>
        </w:rPr>
        <w:t xml:space="preserve"> </w:t>
      </w:r>
      <w:r w:rsidRPr="00581D86">
        <w:rPr>
          <w:sz w:val="26"/>
          <w:szCs w:val="26"/>
        </w:rPr>
        <w:t xml:space="preserve">C.S. § 2806.1(a)(2), charges the Commission with establishing an evaluation process “including a process to monitor and verify data collection, quality assurance and results </w:t>
      </w:r>
      <w:r w:rsidRPr="008F41AA">
        <w:rPr>
          <w:sz w:val="26"/>
          <w:szCs w:val="26"/>
        </w:rPr>
        <w:t>of each plan</w:t>
      </w:r>
      <w:r w:rsidRPr="00581D86">
        <w:rPr>
          <w:sz w:val="26"/>
          <w:szCs w:val="26"/>
        </w:rPr>
        <w:t xml:space="preserve"> and the program.”  Evaluation of each plan is required and therefore must be considered a necessary compliance element of </w:t>
      </w:r>
      <w:r>
        <w:rPr>
          <w:sz w:val="26"/>
          <w:szCs w:val="26"/>
        </w:rPr>
        <w:t>FirstEnergy</w:t>
      </w:r>
      <w:r w:rsidRPr="00581D86">
        <w:rPr>
          <w:sz w:val="26"/>
          <w:szCs w:val="26"/>
        </w:rPr>
        <w:t xml:space="preserve">’s Plan. </w:t>
      </w:r>
      <w:r>
        <w:rPr>
          <w:sz w:val="26"/>
          <w:szCs w:val="26"/>
        </w:rPr>
        <w:t xml:space="preserve"> OCA RB at 9. </w:t>
      </w:r>
    </w:p>
    <w:p w:rsidR="00B56534" w:rsidRDefault="00B56534" w:rsidP="00B56534">
      <w:pPr>
        <w:pStyle w:val="BodyText2"/>
        <w:spacing w:line="360" w:lineRule="auto"/>
        <w:ind w:firstLine="1440"/>
        <w:jc w:val="left"/>
        <w:rPr>
          <w:sz w:val="26"/>
          <w:szCs w:val="26"/>
        </w:rPr>
      </w:pPr>
    </w:p>
    <w:p w:rsidR="00B56534" w:rsidRPr="001843FD" w:rsidRDefault="00B56534" w:rsidP="00B56534">
      <w:pPr>
        <w:pStyle w:val="FootnoteText"/>
        <w:spacing w:line="360" w:lineRule="auto"/>
        <w:ind w:firstLine="1440"/>
        <w:rPr>
          <w:i/>
          <w:sz w:val="26"/>
          <w:szCs w:val="26"/>
        </w:rPr>
      </w:pPr>
      <w:r>
        <w:rPr>
          <w:sz w:val="26"/>
          <w:szCs w:val="26"/>
        </w:rPr>
        <w:t xml:space="preserve">MEIUG </w:t>
      </w:r>
      <w:r w:rsidRPr="00965301">
        <w:rPr>
          <w:i/>
          <w:sz w:val="26"/>
          <w:szCs w:val="26"/>
        </w:rPr>
        <w:t>et al</w:t>
      </w:r>
      <w:r w:rsidR="00DA2469">
        <w:rPr>
          <w:i/>
          <w:sz w:val="26"/>
          <w:szCs w:val="26"/>
        </w:rPr>
        <w:t>.</w:t>
      </w:r>
      <w:r>
        <w:rPr>
          <w:sz w:val="26"/>
          <w:szCs w:val="26"/>
        </w:rPr>
        <w:t xml:space="preserve"> supports the position taken by the OTS and the OCA on this issue.  </w:t>
      </w:r>
      <w:r w:rsidR="005A1E0A">
        <w:rPr>
          <w:sz w:val="26"/>
          <w:szCs w:val="26"/>
        </w:rPr>
        <w:t xml:space="preserve">“If the General Assembly intended to allow a separate surcharge for the costs of the Statewide Evaluator, it would have included this in Act 129.”  </w:t>
      </w:r>
      <w:r>
        <w:rPr>
          <w:sz w:val="26"/>
          <w:szCs w:val="26"/>
        </w:rPr>
        <w:t xml:space="preserve">MEIUG </w:t>
      </w:r>
      <w:r w:rsidRPr="00965301">
        <w:rPr>
          <w:i/>
          <w:sz w:val="26"/>
          <w:szCs w:val="26"/>
        </w:rPr>
        <w:t>et al</w:t>
      </w:r>
      <w:r w:rsidR="00782780">
        <w:rPr>
          <w:i/>
          <w:sz w:val="26"/>
          <w:szCs w:val="26"/>
        </w:rPr>
        <w:t>.</w:t>
      </w:r>
      <w:r w:rsidR="005A1E0A">
        <w:rPr>
          <w:sz w:val="26"/>
          <w:szCs w:val="26"/>
        </w:rPr>
        <w:t xml:space="preserve"> M</w:t>
      </w:r>
      <w:r>
        <w:rPr>
          <w:sz w:val="26"/>
          <w:szCs w:val="26"/>
        </w:rPr>
        <w:t xml:space="preserve">B </w:t>
      </w:r>
      <w:r w:rsidR="00BA1F49">
        <w:rPr>
          <w:sz w:val="26"/>
          <w:szCs w:val="26"/>
        </w:rPr>
        <w:t>at</w:t>
      </w:r>
      <w:r w:rsidR="009C5EAC">
        <w:rPr>
          <w:sz w:val="26"/>
          <w:szCs w:val="26"/>
        </w:rPr>
        <w:t> </w:t>
      </w:r>
      <w:r w:rsidR="005A1E0A">
        <w:rPr>
          <w:sz w:val="26"/>
          <w:szCs w:val="26"/>
        </w:rPr>
        <w:t>22</w:t>
      </w:r>
      <w:r>
        <w:rPr>
          <w:sz w:val="26"/>
          <w:szCs w:val="26"/>
        </w:rPr>
        <w:t>.</w:t>
      </w:r>
      <w:r w:rsidRPr="008A0E19">
        <w:rPr>
          <w:sz w:val="26"/>
          <w:szCs w:val="26"/>
        </w:rPr>
        <w:t xml:space="preserve"> </w:t>
      </w:r>
      <w:r w:rsidR="005A1E0A">
        <w:rPr>
          <w:sz w:val="26"/>
          <w:szCs w:val="26"/>
        </w:rPr>
        <w:t xml:space="preserve"> </w:t>
      </w:r>
      <w:r w:rsidR="001843FD">
        <w:rPr>
          <w:sz w:val="26"/>
          <w:szCs w:val="26"/>
        </w:rPr>
        <w:t xml:space="preserve">MEIUG </w:t>
      </w:r>
      <w:r w:rsidR="001843FD" w:rsidRPr="001843FD">
        <w:rPr>
          <w:i/>
          <w:sz w:val="26"/>
          <w:szCs w:val="26"/>
        </w:rPr>
        <w:t>et al.</w:t>
      </w:r>
      <w:r w:rsidR="001843FD">
        <w:rPr>
          <w:sz w:val="26"/>
          <w:szCs w:val="26"/>
        </w:rPr>
        <w:t xml:space="preserve"> argues that all costs of the Companies relating to Act 129, including consultants as well as the </w:t>
      </w:r>
      <w:r w:rsidR="006323FA">
        <w:rPr>
          <w:sz w:val="26"/>
          <w:szCs w:val="26"/>
        </w:rPr>
        <w:t>S</w:t>
      </w:r>
      <w:r w:rsidR="001843FD">
        <w:rPr>
          <w:sz w:val="26"/>
          <w:szCs w:val="26"/>
        </w:rPr>
        <w:t xml:space="preserve">tatewide </w:t>
      </w:r>
      <w:r w:rsidR="006323FA">
        <w:rPr>
          <w:sz w:val="26"/>
          <w:szCs w:val="26"/>
        </w:rPr>
        <w:t>E</w:t>
      </w:r>
      <w:r w:rsidR="001843FD">
        <w:rPr>
          <w:sz w:val="26"/>
          <w:szCs w:val="26"/>
        </w:rPr>
        <w:t xml:space="preserve">valuator, are subject to the 2% cap.  </w:t>
      </w:r>
      <w:r w:rsidR="001843FD">
        <w:rPr>
          <w:i/>
          <w:sz w:val="26"/>
          <w:szCs w:val="26"/>
        </w:rPr>
        <w:t>Id.</w:t>
      </w:r>
    </w:p>
    <w:p w:rsidR="009470C5" w:rsidRDefault="009470C5" w:rsidP="007D697B">
      <w:pPr>
        <w:pStyle w:val="BodyText2"/>
        <w:widowControl w:val="0"/>
        <w:spacing w:line="360" w:lineRule="auto"/>
        <w:ind w:firstLine="1440"/>
        <w:jc w:val="left"/>
        <w:rPr>
          <w:sz w:val="26"/>
          <w:szCs w:val="26"/>
        </w:rPr>
      </w:pPr>
    </w:p>
    <w:p w:rsidR="00824AE3" w:rsidRDefault="00824AE3">
      <w:pPr>
        <w:spacing w:after="200" w:line="276" w:lineRule="auto"/>
        <w:rPr>
          <w:rFonts w:eastAsiaTheme="majorEastAsia" w:cstheme="majorBidi"/>
          <w:b/>
          <w:sz w:val="26"/>
        </w:rPr>
      </w:pPr>
      <w:bookmarkStart w:id="142" w:name="_Toc242516287"/>
      <w:r>
        <w:br w:type="page"/>
      </w:r>
    </w:p>
    <w:p w:rsidR="00424F78" w:rsidRDefault="00424F78" w:rsidP="00424F78">
      <w:pPr>
        <w:pStyle w:val="Heading5"/>
      </w:pPr>
      <w:bookmarkStart w:id="143" w:name="_Toc244499340"/>
      <w:r>
        <w:lastRenderedPageBreak/>
        <w:t>(2)</w:t>
      </w:r>
      <w:r>
        <w:tab/>
        <w:t>Disposition</w:t>
      </w:r>
      <w:bookmarkEnd w:id="142"/>
      <w:bookmarkEnd w:id="143"/>
    </w:p>
    <w:p w:rsidR="000E0E2E" w:rsidRDefault="000E0E2E" w:rsidP="005B1144">
      <w:pPr>
        <w:spacing w:line="360" w:lineRule="auto"/>
        <w:ind w:firstLine="1440"/>
        <w:rPr>
          <w:sz w:val="26"/>
          <w:szCs w:val="26"/>
        </w:rPr>
      </w:pPr>
    </w:p>
    <w:p w:rsidR="00A7464F" w:rsidRPr="00095C62" w:rsidRDefault="00A7464F" w:rsidP="00A7464F">
      <w:pPr>
        <w:suppressAutoHyphens/>
        <w:spacing w:line="360" w:lineRule="auto"/>
        <w:rPr>
          <w:sz w:val="26"/>
          <w:szCs w:val="26"/>
        </w:rPr>
      </w:pPr>
      <w:r>
        <w:rPr>
          <w:sz w:val="26"/>
          <w:szCs w:val="26"/>
        </w:rPr>
        <w:tab/>
      </w:r>
      <w:r>
        <w:rPr>
          <w:sz w:val="26"/>
          <w:szCs w:val="26"/>
        </w:rPr>
        <w:tab/>
        <w:t xml:space="preserve">Upon review of the record and the positions of the </w:t>
      </w:r>
      <w:r w:rsidR="000212DB">
        <w:rPr>
          <w:sz w:val="26"/>
          <w:szCs w:val="26"/>
        </w:rPr>
        <w:t>Parties</w:t>
      </w:r>
      <w:r>
        <w:rPr>
          <w:sz w:val="26"/>
          <w:szCs w:val="26"/>
        </w:rPr>
        <w:t xml:space="preserve">, we find that FirstEnergy’s </w:t>
      </w:r>
      <w:r w:rsidR="00DA2469">
        <w:rPr>
          <w:sz w:val="26"/>
          <w:szCs w:val="26"/>
        </w:rPr>
        <w:t xml:space="preserve">plan </w:t>
      </w:r>
      <w:r>
        <w:rPr>
          <w:sz w:val="26"/>
          <w:szCs w:val="26"/>
        </w:rPr>
        <w:t xml:space="preserve">to recover the cost of the </w:t>
      </w:r>
      <w:r w:rsidR="006323FA">
        <w:rPr>
          <w:sz w:val="26"/>
          <w:szCs w:val="26"/>
        </w:rPr>
        <w:t>S</w:t>
      </w:r>
      <w:r>
        <w:rPr>
          <w:sz w:val="26"/>
          <w:szCs w:val="26"/>
        </w:rPr>
        <w:t xml:space="preserve">tatewide </w:t>
      </w:r>
      <w:r w:rsidR="006323FA">
        <w:rPr>
          <w:sz w:val="26"/>
          <w:szCs w:val="26"/>
        </w:rPr>
        <w:t>E</w:t>
      </w:r>
      <w:r>
        <w:rPr>
          <w:sz w:val="26"/>
          <w:szCs w:val="26"/>
        </w:rPr>
        <w:t xml:space="preserve">valuator outside the </w:t>
      </w:r>
      <w:r w:rsidR="00C913F1">
        <w:rPr>
          <w:sz w:val="26"/>
          <w:szCs w:val="26"/>
        </w:rPr>
        <w:t>2%</w:t>
      </w:r>
      <w:r>
        <w:rPr>
          <w:sz w:val="26"/>
          <w:szCs w:val="26"/>
        </w:rPr>
        <w:t xml:space="preserve"> cap is reasonable.  The </w:t>
      </w:r>
      <w:r w:rsidRPr="00095C62">
        <w:rPr>
          <w:sz w:val="26"/>
          <w:szCs w:val="26"/>
        </w:rPr>
        <w:t xml:space="preserve">Act requires the Commission to establish an evaluation process that monitors and verifies data collection, quality assurance and the results of each EDC’s EE&amp;C plan as well as the program as a whole, in accordance with the </w:t>
      </w:r>
      <w:r w:rsidR="005640F0">
        <w:rPr>
          <w:sz w:val="26"/>
          <w:szCs w:val="26"/>
        </w:rPr>
        <w:t>TRC Test</w:t>
      </w:r>
      <w:r w:rsidRPr="00095C62">
        <w:rPr>
          <w:sz w:val="26"/>
          <w:szCs w:val="26"/>
        </w:rPr>
        <w:t>.  While the Act requires each EDC’s plan to explain how quality assurance and performance will be measured, verified and evaluated, it requires the Commission to monitor and verify EDC data collection, quality assurance processes and performance measures, by customer class.  66 Pa. C.S. § 2806.1(a).  This evaluation is to be conducted every year, as each EDC must submit an annual report by July 15</w:t>
      </w:r>
      <w:r w:rsidR="0039030A" w:rsidRPr="0039030A">
        <w:rPr>
          <w:sz w:val="26"/>
          <w:szCs w:val="26"/>
          <w:vertAlign w:val="superscript"/>
        </w:rPr>
        <w:t>th</w:t>
      </w:r>
      <w:r w:rsidRPr="00095C62">
        <w:rPr>
          <w:sz w:val="26"/>
          <w:szCs w:val="26"/>
        </w:rPr>
        <w:t>, documenting the effectiveness of its plan, energy savings measurement and verification, an evaluation of the cost effectiveness of expenditures and any other information the Commission requires.  66 Pa. C.S. § 2806.1(i).  Each EDC must also identify necessary adjustments to its plan based on the results of the annual and five-year reviews.  66 Pa. C.S. § 2806.1(b)(2).</w:t>
      </w:r>
    </w:p>
    <w:p w:rsidR="00A7464F" w:rsidRPr="00095C62" w:rsidRDefault="00A7464F" w:rsidP="00A7464F">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A7464F" w:rsidRPr="00095C62" w:rsidRDefault="00A7464F" w:rsidP="00A7464F">
      <w:pPr>
        <w:suppressAutoHyphens/>
        <w:spacing w:line="360" w:lineRule="auto"/>
        <w:rPr>
          <w:sz w:val="26"/>
          <w:szCs w:val="26"/>
        </w:rPr>
      </w:pPr>
      <w:r>
        <w:rPr>
          <w:sz w:val="26"/>
          <w:szCs w:val="26"/>
        </w:rPr>
        <w:tab/>
      </w:r>
      <w:r>
        <w:rPr>
          <w:sz w:val="26"/>
          <w:szCs w:val="26"/>
        </w:rPr>
        <w:tab/>
      </w:r>
      <w:r w:rsidRPr="00095C62">
        <w:rPr>
          <w:sz w:val="26"/>
          <w:szCs w:val="26"/>
        </w:rPr>
        <w:t xml:space="preserve">The Act further requires that, by November 30, 2013, and every five years thereafter, the Commission must evaluate the costs and benefits of the program as a whole as well as the costs and benefits of the individual EE&amp;C plans submitted by the EDCs to the Commission.  This evaluation applies to reductions in consumption as well as reductions in peak demand and it must be consistent with the </w:t>
      </w:r>
      <w:r w:rsidR="005640F0">
        <w:rPr>
          <w:sz w:val="26"/>
          <w:szCs w:val="26"/>
        </w:rPr>
        <w:t>TRC Test</w:t>
      </w:r>
      <w:r w:rsidRPr="00095C62">
        <w:rPr>
          <w:sz w:val="26"/>
          <w:szCs w:val="26"/>
        </w:rPr>
        <w:t>.  If the benefits of the program exceed the costs, the Commission must adopt additional required incremental reductions in consumption.  66 Pa. C.S. § 2806.1(c)(3), (d)(2).</w:t>
      </w:r>
    </w:p>
    <w:p w:rsidR="00A7464F" w:rsidRPr="00095C62" w:rsidRDefault="00A7464F" w:rsidP="00A7464F">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A7464F" w:rsidRPr="00095C62" w:rsidRDefault="00A7464F" w:rsidP="00A7464F">
      <w:pPr>
        <w:suppressAutoHyphens/>
        <w:spacing w:line="360" w:lineRule="auto"/>
        <w:rPr>
          <w:sz w:val="26"/>
          <w:szCs w:val="26"/>
        </w:rPr>
      </w:pPr>
      <w:r>
        <w:rPr>
          <w:sz w:val="26"/>
          <w:szCs w:val="26"/>
        </w:rPr>
        <w:tab/>
      </w:r>
      <w:r>
        <w:rPr>
          <w:sz w:val="26"/>
          <w:szCs w:val="26"/>
        </w:rPr>
        <w:tab/>
      </w:r>
      <w:r w:rsidRPr="00095C62">
        <w:rPr>
          <w:sz w:val="26"/>
          <w:szCs w:val="26"/>
        </w:rPr>
        <w:t xml:space="preserve">In order to audit program results and to confirm the specific energy reduction target requirements specified in </w:t>
      </w:r>
      <w:r>
        <w:rPr>
          <w:sz w:val="26"/>
          <w:szCs w:val="26"/>
        </w:rPr>
        <w:t xml:space="preserve">the </w:t>
      </w:r>
      <w:r w:rsidRPr="00095C62">
        <w:rPr>
          <w:sz w:val="26"/>
          <w:szCs w:val="26"/>
        </w:rPr>
        <w:t xml:space="preserve">Act, the Commission retained the services of a </w:t>
      </w:r>
      <w:r w:rsidR="006323FA">
        <w:rPr>
          <w:sz w:val="26"/>
          <w:szCs w:val="26"/>
        </w:rPr>
        <w:t>Statewide E</w:t>
      </w:r>
      <w:r w:rsidRPr="00095C62">
        <w:rPr>
          <w:sz w:val="26"/>
          <w:szCs w:val="26"/>
        </w:rPr>
        <w:t xml:space="preserve">valuator who will monitor and verify EDC data collection, quality assurance processes and performance measures, by customer class as required by </w:t>
      </w:r>
      <w:r w:rsidRPr="00095C62">
        <w:rPr>
          <w:sz w:val="26"/>
          <w:szCs w:val="26"/>
        </w:rPr>
        <w:lastRenderedPageBreak/>
        <w:t>Section</w:t>
      </w:r>
      <w:r w:rsidR="009C5EAC">
        <w:rPr>
          <w:sz w:val="26"/>
          <w:szCs w:val="26"/>
        </w:rPr>
        <w:t> </w:t>
      </w:r>
      <w:r w:rsidRPr="00095C62">
        <w:rPr>
          <w:sz w:val="26"/>
          <w:szCs w:val="26"/>
        </w:rPr>
        <w:t>2806.1</w:t>
      </w:r>
      <w:r w:rsidR="00332C38">
        <w:rPr>
          <w:sz w:val="26"/>
          <w:szCs w:val="26"/>
        </w:rPr>
        <w:t>(a)</w:t>
      </w:r>
      <w:r w:rsidRPr="00095C62">
        <w:rPr>
          <w:sz w:val="26"/>
          <w:szCs w:val="26"/>
        </w:rPr>
        <w:t xml:space="preserve">(2) and (3).  Section 2806.1(h) of Act 129 states that the Commission shall recover from the EDCs its costs of implementing the overall EE&amp;C program. </w:t>
      </w:r>
      <w:r w:rsidR="009C5EAC">
        <w:rPr>
          <w:sz w:val="26"/>
          <w:szCs w:val="26"/>
        </w:rPr>
        <w:t xml:space="preserve"> 66 </w:t>
      </w:r>
      <w:r w:rsidRPr="00095C62">
        <w:rPr>
          <w:sz w:val="26"/>
          <w:szCs w:val="26"/>
        </w:rPr>
        <w:t xml:space="preserve">Pa. C.S. § 2806.1(h).   The cost of the </w:t>
      </w:r>
      <w:r w:rsidR="006323FA">
        <w:rPr>
          <w:sz w:val="26"/>
          <w:szCs w:val="26"/>
        </w:rPr>
        <w:t>Statewide E</w:t>
      </w:r>
      <w:r w:rsidRPr="00095C62">
        <w:rPr>
          <w:sz w:val="26"/>
          <w:szCs w:val="26"/>
        </w:rPr>
        <w:t>valuator falls into this category.</w:t>
      </w:r>
    </w:p>
    <w:p w:rsidR="00A7464F" w:rsidRPr="00095C62" w:rsidRDefault="00A7464F" w:rsidP="00A7464F">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A7464F" w:rsidRPr="00095C62" w:rsidRDefault="00A7464F" w:rsidP="00A7464F">
      <w:pPr>
        <w:suppressAutoHyphens/>
        <w:spacing w:line="360" w:lineRule="auto"/>
        <w:rPr>
          <w:sz w:val="26"/>
          <w:szCs w:val="26"/>
        </w:rPr>
      </w:pPr>
      <w:r>
        <w:rPr>
          <w:sz w:val="26"/>
          <w:szCs w:val="26"/>
        </w:rPr>
        <w:tab/>
      </w:r>
      <w:r>
        <w:rPr>
          <w:sz w:val="26"/>
          <w:szCs w:val="26"/>
        </w:rPr>
        <w:tab/>
      </w:r>
      <w:r w:rsidRPr="00095C62">
        <w:rPr>
          <w:sz w:val="26"/>
          <w:szCs w:val="26"/>
        </w:rPr>
        <w:t xml:space="preserve">The cost of the individual EDC’s plans is limited by the Act to 2% of the EDC’s total annual revenue as of December 31, 2006.   66 Pa. C.S. § 2806.1(g).  However, the </w:t>
      </w:r>
      <w:r w:rsidR="006323FA">
        <w:rPr>
          <w:sz w:val="26"/>
          <w:szCs w:val="26"/>
        </w:rPr>
        <w:t>Statewide E</w:t>
      </w:r>
      <w:r w:rsidRPr="00095C62">
        <w:rPr>
          <w:sz w:val="26"/>
          <w:szCs w:val="26"/>
        </w:rPr>
        <w:t xml:space="preserve">valuator expense, while necessary to the implementation of the overall program administered by the Commission, is not a cost component of the </w:t>
      </w:r>
      <w:r>
        <w:rPr>
          <w:sz w:val="26"/>
          <w:szCs w:val="26"/>
        </w:rPr>
        <w:t>FirstEnergy Companies’</w:t>
      </w:r>
      <w:r w:rsidRPr="00095C62">
        <w:rPr>
          <w:sz w:val="26"/>
          <w:szCs w:val="26"/>
        </w:rPr>
        <w:t xml:space="preserve"> individual plans.  Since the </w:t>
      </w:r>
      <w:r>
        <w:rPr>
          <w:sz w:val="26"/>
          <w:szCs w:val="26"/>
        </w:rPr>
        <w:t>FirstEnergy Companies</w:t>
      </w:r>
      <w:r w:rsidRPr="00095C62">
        <w:rPr>
          <w:sz w:val="26"/>
          <w:szCs w:val="26"/>
        </w:rPr>
        <w:t xml:space="preserve"> have no control over the level of this expense, it is appropriate that the </w:t>
      </w:r>
      <w:r>
        <w:rPr>
          <w:sz w:val="26"/>
          <w:szCs w:val="26"/>
        </w:rPr>
        <w:t>FirstEnergy Companies</w:t>
      </w:r>
      <w:r w:rsidR="006323FA">
        <w:rPr>
          <w:sz w:val="26"/>
          <w:szCs w:val="26"/>
        </w:rPr>
        <w:t xml:space="preserve"> </w:t>
      </w:r>
      <w:r w:rsidRPr="00095C62">
        <w:rPr>
          <w:sz w:val="26"/>
          <w:szCs w:val="26"/>
        </w:rPr>
        <w:t xml:space="preserve">not be required to include the cost of the </w:t>
      </w:r>
      <w:r w:rsidR="006323FA">
        <w:rPr>
          <w:sz w:val="26"/>
          <w:szCs w:val="26"/>
        </w:rPr>
        <w:t>Statewide E</w:t>
      </w:r>
      <w:r w:rsidRPr="00095C62">
        <w:rPr>
          <w:sz w:val="26"/>
          <w:szCs w:val="26"/>
        </w:rPr>
        <w:t xml:space="preserve">valuator within the 2% limitation on the cost of their individual plans.  </w:t>
      </w:r>
    </w:p>
    <w:p w:rsidR="00A7464F" w:rsidRPr="00095C62" w:rsidRDefault="00A7464F" w:rsidP="00A7464F">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A7464F" w:rsidRDefault="00A7464F" w:rsidP="00A7464F">
      <w:pPr>
        <w:suppressAutoHyphens/>
        <w:spacing w:line="360" w:lineRule="auto"/>
        <w:rPr>
          <w:sz w:val="26"/>
          <w:szCs w:val="26"/>
        </w:rPr>
      </w:pPr>
      <w:r>
        <w:rPr>
          <w:sz w:val="26"/>
          <w:szCs w:val="26"/>
        </w:rPr>
        <w:tab/>
      </w:r>
      <w:r>
        <w:rPr>
          <w:sz w:val="26"/>
          <w:szCs w:val="26"/>
        </w:rPr>
        <w:tab/>
      </w:r>
      <w:r w:rsidRPr="00095C62">
        <w:rPr>
          <w:sz w:val="26"/>
          <w:szCs w:val="26"/>
        </w:rPr>
        <w:t>Furthermore, Section 2806.1(k)(1) states that each EDC shall recover all reasonable and prudent costs incurred in the provision or management of its EE&amp;C plan on a full and current basis through a reconcilable surcharge.  There</w:t>
      </w:r>
      <w:r w:rsidR="006323FA">
        <w:rPr>
          <w:sz w:val="26"/>
          <w:szCs w:val="26"/>
        </w:rPr>
        <w:t>fore, the cost recovery of the Statewide E</w:t>
      </w:r>
      <w:r w:rsidRPr="00095C62">
        <w:rPr>
          <w:sz w:val="26"/>
          <w:szCs w:val="26"/>
        </w:rPr>
        <w:t xml:space="preserve">valuator should be included in the reconcilable surcharge that will be used to recover those costs of the </w:t>
      </w:r>
      <w:r>
        <w:rPr>
          <w:sz w:val="26"/>
          <w:szCs w:val="26"/>
        </w:rPr>
        <w:t>FirstEnergy Companies’</w:t>
      </w:r>
      <w:r w:rsidR="00AE2CCE">
        <w:rPr>
          <w:sz w:val="26"/>
          <w:szCs w:val="26"/>
        </w:rPr>
        <w:t xml:space="preserve"> </w:t>
      </w:r>
      <w:r w:rsidRPr="00095C62">
        <w:rPr>
          <w:sz w:val="26"/>
          <w:szCs w:val="26"/>
        </w:rPr>
        <w:t xml:space="preserve">individual </w:t>
      </w:r>
      <w:r>
        <w:rPr>
          <w:sz w:val="26"/>
          <w:szCs w:val="26"/>
        </w:rPr>
        <w:t>EEC-C Riders</w:t>
      </w:r>
      <w:r w:rsidRPr="00095C62">
        <w:rPr>
          <w:sz w:val="26"/>
          <w:szCs w:val="26"/>
        </w:rPr>
        <w:t xml:space="preserve">. </w:t>
      </w:r>
    </w:p>
    <w:p w:rsidR="00A7464F" w:rsidRPr="00095C62" w:rsidRDefault="00A7464F" w:rsidP="00A7464F">
      <w:pPr>
        <w:suppressAutoHyphens/>
        <w:spacing w:line="360" w:lineRule="auto"/>
        <w:rPr>
          <w:sz w:val="26"/>
          <w:szCs w:val="26"/>
        </w:rPr>
      </w:pPr>
      <w:r w:rsidRPr="00095C62">
        <w:rPr>
          <w:sz w:val="26"/>
          <w:szCs w:val="26"/>
        </w:rPr>
        <w:t xml:space="preserve"> </w:t>
      </w:r>
    </w:p>
    <w:p w:rsidR="00FB0ACA" w:rsidRDefault="00A7464F" w:rsidP="00A7464F">
      <w:pPr>
        <w:spacing w:line="360" w:lineRule="auto"/>
        <w:ind w:firstLine="1440"/>
        <w:rPr>
          <w:sz w:val="26"/>
          <w:szCs w:val="26"/>
        </w:rPr>
      </w:pPr>
      <w:r w:rsidRPr="00095C62">
        <w:rPr>
          <w:sz w:val="26"/>
          <w:szCs w:val="26"/>
        </w:rPr>
        <w:t xml:space="preserve">We conclude that the expense related to the </w:t>
      </w:r>
      <w:r w:rsidR="006323FA">
        <w:rPr>
          <w:sz w:val="26"/>
          <w:szCs w:val="26"/>
        </w:rPr>
        <w:t>Statewide E</w:t>
      </w:r>
      <w:r w:rsidRPr="00095C62">
        <w:rPr>
          <w:sz w:val="26"/>
          <w:szCs w:val="26"/>
        </w:rPr>
        <w:t xml:space="preserve">valuator is not a cost component of the </w:t>
      </w:r>
      <w:r>
        <w:rPr>
          <w:sz w:val="26"/>
          <w:szCs w:val="26"/>
        </w:rPr>
        <w:t>FirstEnergy Companies</w:t>
      </w:r>
      <w:r w:rsidRPr="00095C62">
        <w:rPr>
          <w:sz w:val="26"/>
          <w:szCs w:val="26"/>
        </w:rPr>
        <w:t>’ individual plans.  Rather, it is a cost component of the overall program instituted by the Commission</w:t>
      </w:r>
      <w:r>
        <w:rPr>
          <w:sz w:val="26"/>
          <w:szCs w:val="26"/>
        </w:rPr>
        <w:t>.  Accordingly, we find that Met Ed’s, Penelec’s or Penn Power’s</w:t>
      </w:r>
      <w:r w:rsidRPr="00095C62">
        <w:rPr>
          <w:sz w:val="26"/>
          <w:szCs w:val="26"/>
        </w:rPr>
        <w:t xml:space="preserve"> cost recovery for</w:t>
      </w:r>
      <w:r>
        <w:rPr>
          <w:sz w:val="26"/>
          <w:szCs w:val="26"/>
        </w:rPr>
        <w:t xml:space="preserve"> their</w:t>
      </w:r>
      <w:r w:rsidRPr="00095C62">
        <w:rPr>
          <w:sz w:val="26"/>
          <w:szCs w:val="26"/>
        </w:rPr>
        <w:t xml:space="preserve"> respective share</w:t>
      </w:r>
      <w:r>
        <w:rPr>
          <w:sz w:val="26"/>
          <w:szCs w:val="26"/>
        </w:rPr>
        <w:t>s</w:t>
      </w:r>
      <w:r w:rsidRPr="00095C62">
        <w:rPr>
          <w:sz w:val="26"/>
          <w:szCs w:val="26"/>
        </w:rPr>
        <w:t xml:space="preserve"> of the cost for the </w:t>
      </w:r>
      <w:r w:rsidR="006323FA">
        <w:rPr>
          <w:sz w:val="26"/>
          <w:szCs w:val="26"/>
        </w:rPr>
        <w:t>S</w:t>
      </w:r>
      <w:r w:rsidRPr="00095C62">
        <w:rPr>
          <w:sz w:val="26"/>
          <w:szCs w:val="26"/>
        </w:rPr>
        <w:t xml:space="preserve">tatewide </w:t>
      </w:r>
      <w:r w:rsidR="006323FA">
        <w:rPr>
          <w:sz w:val="26"/>
          <w:szCs w:val="26"/>
        </w:rPr>
        <w:t>E</w:t>
      </w:r>
      <w:r w:rsidRPr="00095C62">
        <w:rPr>
          <w:sz w:val="26"/>
          <w:szCs w:val="26"/>
        </w:rPr>
        <w:t xml:space="preserve">valuator will not be subject to the </w:t>
      </w:r>
      <w:r w:rsidR="00C913F1">
        <w:rPr>
          <w:sz w:val="26"/>
          <w:szCs w:val="26"/>
        </w:rPr>
        <w:t>2%</w:t>
      </w:r>
      <w:r w:rsidRPr="00095C62">
        <w:rPr>
          <w:sz w:val="26"/>
          <w:szCs w:val="26"/>
        </w:rPr>
        <w:t xml:space="preserve"> cap on the cost of the </w:t>
      </w:r>
      <w:r>
        <w:rPr>
          <w:sz w:val="26"/>
          <w:szCs w:val="26"/>
        </w:rPr>
        <w:t>individual EE&amp;C</w:t>
      </w:r>
      <w:r w:rsidR="008B76A7">
        <w:rPr>
          <w:sz w:val="26"/>
          <w:szCs w:val="26"/>
        </w:rPr>
        <w:t xml:space="preserve"> P</w:t>
      </w:r>
      <w:r w:rsidRPr="00095C62">
        <w:rPr>
          <w:sz w:val="26"/>
          <w:szCs w:val="26"/>
        </w:rPr>
        <w:t>lan</w:t>
      </w:r>
      <w:r w:rsidR="008B76A7">
        <w:rPr>
          <w:sz w:val="26"/>
          <w:szCs w:val="26"/>
        </w:rPr>
        <w:t>s</w:t>
      </w:r>
      <w:r w:rsidRPr="00095C62">
        <w:rPr>
          <w:sz w:val="26"/>
          <w:szCs w:val="26"/>
        </w:rPr>
        <w:t xml:space="preserve">. </w:t>
      </w:r>
    </w:p>
    <w:p w:rsidR="00D84F1D" w:rsidRDefault="00D84F1D" w:rsidP="00A7464F">
      <w:pPr>
        <w:spacing w:line="360" w:lineRule="auto"/>
        <w:ind w:firstLine="1440"/>
        <w:rPr>
          <w:sz w:val="26"/>
          <w:szCs w:val="26"/>
        </w:rPr>
      </w:pPr>
    </w:p>
    <w:p w:rsidR="007841DD" w:rsidRDefault="007841DD">
      <w:pPr>
        <w:spacing w:after="200" w:line="276" w:lineRule="auto"/>
        <w:rPr>
          <w:rFonts w:eastAsiaTheme="majorEastAsia" w:cstheme="majorBidi"/>
          <w:b/>
          <w:bCs/>
          <w:iCs/>
          <w:sz w:val="26"/>
        </w:rPr>
      </w:pPr>
      <w:r>
        <w:br w:type="page"/>
      </w:r>
    </w:p>
    <w:p w:rsidR="00DD4F74" w:rsidRDefault="00DD4F74" w:rsidP="00DD4F74">
      <w:pPr>
        <w:pStyle w:val="Heading4"/>
      </w:pPr>
      <w:bookmarkStart w:id="144" w:name="_Toc244499341"/>
      <w:r>
        <w:lastRenderedPageBreak/>
        <w:t>c.</w:t>
      </w:r>
      <w:r>
        <w:tab/>
        <w:t>Consumer Education Outreach Costs</w:t>
      </w:r>
      <w:bookmarkEnd w:id="144"/>
    </w:p>
    <w:p w:rsidR="00DD4F74" w:rsidRDefault="00DD4F74" w:rsidP="00DD4F74">
      <w:pPr>
        <w:spacing w:line="360" w:lineRule="auto"/>
        <w:ind w:firstLine="1440"/>
        <w:rPr>
          <w:szCs w:val="26"/>
        </w:rPr>
      </w:pPr>
      <w:r w:rsidRPr="001672E8">
        <w:rPr>
          <w:szCs w:val="26"/>
        </w:rPr>
        <w:t xml:space="preserve">  </w:t>
      </w:r>
    </w:p>
    <w:p w:rsidR="00DD4F74" w:rsidRDefault="00DD4F74" w:rsidP="00DD4F74">
      <w:pPr>
        <w:pStyle w:val="Heading5"/>
      </w:pPr>
      <w:bookmarkStart w:id="145" w:name="_Toc244499342"/>
      <w:r>
        <w:t>(1)</w:t>
      </w:r>
      <w:r>
        <w:tab/>
        <w:t>Positions of the Parties</w:t>
      </w:r>
      <w:bookmarkEnd w:id="145"/>
    </w:p>
    <w:p w:rsidR="00DD4F74" w:rsidRDefault="00DD4F74" w:rsidP="00A7464F">
      <w:pPr>
        <w:spacing w:line="360" w:lineRule="auto"/>
        <w:ind w:firstLine="1440"/>
        <w:rPr>
          <w:sz w:val="26"/>
          <w:szCs w:val="26"/>
        </w:rPr>
      </w:pPr>
    </w:p>
    <w:p w:rsidR="00803AFA" w:rsidRDefault="003270AB" w:rsidP="00A7464F">
      <w:pPr>
        <w:spacing w:line="360" w:lineRule="auto"/>
        <w:ind w:firstLine="1440"/>
        <w:rPr>
          <w:sz w:val="26"/>
          <w:szCs w:val="26"/>
        </w:rPr>
      </w:pPr>
      <w:r>
        <w:rPr>
          <w:sz w:val="26"/>
          <w:szCs w:val="26"/>
        </w:rPr>
        <w:t xml:space="preserve">In the Petition, the Companies state that they will conduct a consumer awareness and education campaign.  For Penn Power, this campaign will focus on informing customers about opportunities to participate in EE&amp;C programs.  For Met Ed and Penelec, this campaign will make people aware of the transition to market-based rates </w:t>
      </w:r>
      <w:r w:rsidR="008C78C8">
        <w:rPr>
          <w:sz w:val="26"/>
          <w:szCs w:val="26"/>
        </w:rPr>
        <w:t xml:space="preserve">in 2011 </w:t>
      </w:r>
      <w:r>
        <w:rPr>
          <w:sz w:val="26"/>
          <w:szCs w:val="26"/>
        </w:rPr>
        <w:t xml:space="preserve">and the opportunities for customers to take advantage of EE&amp;C programs to help mitigate the effects of potential increases in customer bills.  </w:t>
      </w:r>
      <w:r w:rsidR="00CE7944">
        <w:rPr>
          <w:sz w:val="26"/>
          <w:szCs w:val="26"/>
        </w:rPr>
        <w:t xml:space="preserve">A share of the first year marketing campaign is included in the Companies’ Plans.  In addition, the Companies will utilize the Consumer Education Program approved by the Commission </w:t>
      </w:r>
      <w:r w:rsidR="00875629">
        <w:rPr>
          <w:sz w:val="26"/>
          <w:szCs w:val="26"/>
        </w:rPr>
        <w:t xml:space="preserve">in </w:t>
      </w:r>
      <w:r w:rsidR="00875629" w:rsidRPr="00875629">
        <w:rPr>
          <w:i/>
          <w:sz w:val="26"/>
          <w:szCs w:val="26"/>
        </w:rPr>
        <w:t>Metropolitan Edison Company, Pennsylvania Electric Company, and Pennsylvania Power Company Consumer Education Plan for 2008-2012 Submitted in Compliance with May 10, 2007, Final Order at Docket No. M-00061957 (entered on May 17, 2007)</w:t>
      </w:r>
      <w:r w:rsidR="00875629">
        <w:rPr>
          <w:sz w:val="26"/>
          <w:szCs w:val="26"/>
        </w:rPr>
        <w:t>,</w:t>
      </w:r>
      <w:r w:rsidR="00CE7944">
        <w:rPr>
          <w:sz w:val="26"/>
          <w:szCs w:val="26"/>
        </w:rPr>
        <w:t xml:space="preserve"> Docket Nos.</w:t>
      </w:r>
      <w:r w:rsidR="008C78C8">
        <w:rPr>
          <w:sz w:val="26"/>
          <w:szCs w:val="26"/>
        </w:rPr>
        <w:t xml:space="preserve"> </w:t>
      </w:r>
      <w:r w:rsidR="00875629">
        <w:rPr>
          <w:sz w:val="26"/>
          <w:szCs w:val="26"/>
        </w:rPr>
        <w:t xml:space="preserve">M-2008-2032261 </w:t>
      </w:r>
      <w:r w:rsidR="00875629">
        <w:rPr>
          <w:i/>
          <w:sz w:val="26"/>
          <w:szCs w:val="26"/>
        </w:rPr>
        <w:t>et al.</w:t>
      </w:r>
      <w:r w:rsidR="00E70804">
        <w:rPr>
          <w:i/>
          <w:sz w:val="26"/>
          <w:szCs w:val="26"/>
        </w:rPr>
        <w:t xml:space="preserve"> </w:t>
      </w:r>
      <w:r w:rsidR="00E36896">
        <w:rPr>
          <w:sz w:val="26"/>
          <w:szCs w:val="26"/>
        </w:rPr>
        <w:t xml:space="preserve">(Order entered August 25, 2008), </w:t>
      </w:r>
      <w:r w:rsidR="00E70804">
        <w:rPr>
          <w:sz w:val="26"/>
          <w:szCs w:val="26"/>
        </w:rPr>
        <w:t>to educate customers about the programs.  Petition at 9.</w:t>
      </w:r>
      <w:r w:rsidR="002100A5">
        <w:rPr>
          <w:sz w:val="26"/>
          <w:szCs w:val="26"/>
        </w:rPr>
        <w:t xml:space="preserve">  </w:t>
      </w:r>
    </w:p>
    <w:p w:rsidR="00E70804" w:rsidRDefault="00E70804" w:rsidP="00A7464F">
      <w:pPr>
        <w:spacing w:line="360" w:lineRule="auto"/>
        <w:ind w:firstLine="1440"/>
        <w:rPr>
          <w:sz w:val="26"/>
          <w:szCs w:val="26"/>
        </w:rPr>
      </w:pPr>
    </w:p>
    <w:p w:rsidR="00805CC9" w:rsidRDefault="00805CC9" w:rsidP="00A7464F">
      <w:pPr>
        <w:spacing w:line="360" w:lineRule="auto"/>
        <w:ind w:firstLine="1440"/>
        <w:rPr>
          <w:sz w:val="26"/>
          <w:szCs w:val="26"/>
        </w:rPr>
      </w:pPr>
      <w:r>
        <w:rPr>
          <w:sz w:val="26"/>
          <w:szCs w:val="26"/>
        </w:rPr>
        <w:t xml:space="preserve">The </w:t>
      </w:r>
      <w:r w:rsidR="00BA3FCD">
        <w:rPr>
          <w:sz w:val="26"/>
          <w:szCs w:val="26"/>
        </w:rPr>
        <w:t xml:space="preserve">OCA objects to this aspect of the Companies’ Plans.  </w:t>
      </w:r>
      <w:r>
        <w:rPr>
          <w:sz w:val="26"/>
          <w:szCs w:val="26"/>
        </w:rPr>
        <w:t xml:space="preserve">The </w:t>
      </w:r>
      <w:r w:rsidR="00BA3FCD">
        <w:rPr>
          <w:sz w:val="26"/>
          <w:szCs w:val="26"/>
        </w:rPr>
        <w:t xml:space="preserve">OCA argues that </w:t>
      </w:r>
      <w:r w:rsidR="00495EA8">
        <w:rPr>
          <w:sz w:val="26"/>
          <w:szCs w:val="26"/>
        </w:rPr>
        <w:t xml:space="preserve">the costs of implementing a consumer education program are costs of implementing the Plans.  As a result, they should be funded by monies collected pursuant to the Act 129 cost recovery mechanism, subject to the 2% cap.  Under FirstEnergy’s approach, in contrast, the Companies would </w:t>
      </w:r>
      <w:r w:rsidR="00BA3FCD">
        <w:rPr>
          <w:sz w:val="26"/>
          <w:szCs w:val="26"/>
        </w:rPr>
        <w:t>collect consumer education costs outside of the 2% cap.</w:t>
      </w:r>
      <w:r w:rsidR="00495EA8">
        <w:rPr>
          <w:sz w:val="26"/>
          <w:szCs w:val="26"/>
        </w:rPr>
        <w:t xml:space="preserve">  OCA MB at 42.</w:t>
      </w:r>
    </w:p>
    <w:p w:rsidR="00803AFA" w:rsidRDefault="00803AFA" w:rsidP="00A7464F">
      <w:pPr>
        <w:spacing w:line="360" w:lineRule="auto"/>
        <w:ind w:firstLine="1440"/>
        <w:rPr>
          <w:sz w:val="26"/>
          <w:szCs w:val="26"/>
        </w:rPr>
      </w:pPr>
    </w:p>
    <w:p w:rsidR="007841DD" w:rsidRDefault="007841DD">
      <w:pPr>
        <w:spacing w:after="200" w:line="276" w:lineRule="auto"/>
        <w:rPr>
          <w:rFonts w:eastAsiaTheme="majorEastAsia" w:cstheme="majorBidi"/>
          <w:b/>
          <w:sz w:val="26"/>
        </w:rPr>
      </w:pPr>
      <w:r>
        <w:br w:type="page"/>
      </w:r>
    </w:p>
    <w:p w:rsidR="00DD4F74" w:rsidRDefault="00DD4F74" w:rsidP="00DD4F74">
      <w:pPr>
        <w:pStyle w:val="Heading5"/>
      </w:pPr>
      <w:bookmarkStart w:id="146" w:name="_Toc244499343"/>
      <w:r>
        <w:lastRenderedPageBreak/>
        <w:t>(2)</w:t>
      </w:r>
      <w:r>
        <w:tab/>
        <w:t>Disposition</w:t>
      </w:r>
      <w:bookmarkEnd w:id="146"/>
    </w:p>
    <w:p w:rsidR="00FB0ACA" w:rsidRDefault="00FB0ACA" w:rsidP="00A7464F">
      <w:pPr>
        <w:spacing w:line="360" w:lineRule="auto"/>
        <w:ind w:firstLine="1440"/>
        <w:rPr>
          <w:sz w:val="26"/>
          <w:szCs w:val="26"/>
        </w:rPr>
      </w:pPr>
    </w:p>
    <w:p w:rsidR="006E7970" w:rsidRDefault="00F872EF" w:rsidP="00A7464F">
      <w:pPr>
        <w:spacing w:line="360" w:lineRule="auto"/>
        <w:ind w:firstLine="1440"/>
        <w:rPr>
          <w:sz w:val="26"/>
          <w:szCs w:val="26"/>
        </w:rPr>
      </w:pPr>
      <w:r>
        <w:rPr>
          <w:sz w:val="26"/>
          <w:szCs w:val="26"/>
        </w:rPr>
        <w:t xml:space="preserve">To the extent that an EDC educates consumers about its EE&amp;C Plan, those costs are </w:t>
      </w:r>
      <w:r w:rsidR="00E768C9">
        <w:rPr>
          <w:sz w:val="26"/>
          <w:szCs w:val="26"/>
        </w:rPr>
        <w:t>marketing expense</w:t>
      </w:r>
      <w:r w:rsidR="005C7540">
        <w:rPr>
          <w:sz w:val="26"/>
          <w:szCs w:val="26"/>
        </w:rPr>
        <w:t>s</w:t>
      </w:r>
      <w:r w:rsidR="00E768C9">
        <w:rPr>
          <w:sz w:val="26"/>
          <w:szCs w:val="26"/>
        </w:rPr>
        <w:t xml:space="preserve"> that should be included in the </w:t>
      </w:r>
      <w:r w:rsidR="005C7540">
        <w:rPr>
          <w:sz w:val="26"/>
          <w:szCs w:val="26"/>
        </w:rPr>
        <w:t xml:space="preserve">Companies’ </w:t>
      </w:r>
      <w:r w:rsidR="00E768C9">
        <w:rPr>
          <w:sz w:val="26"/>
          <w:szCs w:val="26"/>
        </w:rPr>
        <w:t>Act 129 Plan</w:t>
      </w:r>
      <w:r w:rsidR="005C7540">
        <w:rPr>
          <w:sz w:val="26"/>
          <w:szCs w:val="26"/>
        </w:rPr>
        <w:t>s</w:t>
      </w:r>
      <w:r w:rsidR="00E768C9">
        <w:rPr>
          <w:sz w:val="26"/>
          <w:szCs w:val="26"/>
        </w:rPr>
        <w:t xml:space="preserve">.  </w:t>
      </w:r>
      <w:r w:rsidR="005C7540">
        <w:rPr>
          <w:sz w:val="26"/>
          <w:szCs w:val="26"/>
        </w:rPr>
        <w:t xml:space="preserve">These costs are </w:t>
      </w:r>
      <w:r w:rsidR="00E768C9">
        <w:rPr>
          <w:sz w:val="26"/>
          <w:szCs w:val="26"/>
        </w:rPr>
        <w:t xml:space="preserve">subject to the 2% </w:t>
      </w:r>
      <w:r w:rsidR="005C7540">
        <w:rPr>
          <w:sz w:val="26"/>
          <w:szCs w:val="26"/>
        </w:rPr>
        <w:t>cap</w:t>
      </w:r>
      <w:r w:rsidR="00E768C9">
        <w:rPr>
          <w:sz w:val="26"/>
          <w:szCs w:val="26"/>
        </w:rPr>
        <w:t>.</w:t>
      </w:r>
      <w:r w:rsidR="002100A5">
        <w:rPr>
          <w:sz w:val="26"/>
          <w:szCs w:val="26"/>
        </w:rPr>
        <w:t xml:space="preserve">  </w:t>
      </w:r>
    </w:p>
    <w:p w:rsidR="006E7970" w:rsidRDefault="006E7970" w:rsidP="00A7464F">
      <w:pPr>
        <w:spacing w:line="360" w:lineRule="auto"/>
        <w:ind w:firstLine="1440"/>
        <w:rPr>
          <w:sz w:val="26"/>
          <w:szCs w:val="26"/>
        </w:rPr>
      </w:pPr>
    </w:p>
    <w:p w:rsidR="009C00AF" w:rsidRDefault="002100A5" w:rsidP="00A7464F">
      <w:pPr>
        <w:spacing w:line="360" w:lineRule="auto"/>
        <w:ind w:firstLine="1440"/>
        <w:rPr>
          <w:sz w:val="26"/>
          <w:szCs w:val="26"/>
        </w:rPr>
      </w:pPr>
      <w:r>
        <w:rPr>
          <w:sz w:val="26"/>
          <w:szCs w:val="26"/>
        </w:rPr>
        <w:t xml:space="preserve">For Penn Power, </w:t>
      </w:r>
      <w:r w:rsidR="00C82D40">
        <w:rPr>
          <w:sz w:val="26"/>
          <w:szCs w:val="26"/>
        </w:rPr>
        <w:t xml:space="preserve">the consumer education program focuses </w:t>
      </w:r>
      <w:r w:rsidR="00782780">
        <w:rPr>
          <w:sz w:val="26"/>
          <w:szCs w:val="26"/>
        </w:rPr>
        <w:t xml:space="preserve">entirely </w:t>
      </w:r>
      <w:r w:rsidR="00C82D40">
        <w:rPr>
          <w:sz w:val="26"/>
          <w:szCs w:val="26"/>
        </w:rPr>
        <w:t xml:space="preserve">on the Company’s EE&amp;C Plan.  As a result, </w:t>
      </w:r>
      <w:r w:rsidR="00B20F81">
        <w:rPr>
          <w:sz w:val="26"/>
          <w:szCs w:val="26"/>
        </w:rPr>
        <w:t xml:space="preserve">we direct this Company to include </w:t>
      </w:r>
      <w:r w:rsidR="00C82D40">
        <w:rPr>
          <w:sz w:val="26"/>
          <w:szCs w:val="26"/>
        </w:rPr>
        <w:t xml:space="preserve">all of the costs of </w:t>
      </w:r>
      <w:r w:rsidR="00B20F81">
        <w:rPr>
          <w:sz w:val="26"/>
          <w:szCs w:val="26"/>
        </w:rPr>
        <w:t xml:space="preserve">its </w:t>
      </w:r>
      <w:r>
        <w:rPr>
          <w:sz w:val="26"/>
          <w:szCs w:val="26"/>
        </w:rPr>
        <w:t>consumer education program in the costs of implementing Act 129.</w:t>
      </w:r>
      <w:r w:rsidR="00454282">
        <w:rPr>
          <w:sz w:val="26"/>
          <w:szCs w:val="26"/>
        </w:rPr>
        <w:t xml:space="preserve">  For Met Ed and Penelec, the consumer education campaign serves </w:t>
      </w:r>
      <w:r w:rsidR="00F872EF">
        <w:rPr>
          <w:sz w:val="26"/>
          <w:szCs w:val="26"/>
        </w:rPr>
        <w:t>a</w:t>
      </w:r>
      <w:r w:rsidR="00454282">
        <w:rPr>
          <w:sz w:val="26"/>
          <w:szCs w:val="26"/>
        </w:rPr>
        <w:t xml:space="preserve"> dual purpose</w:t>
      </w:r>
      <w:r w:rsidR="00F872EF">
        <w:rPr>
          <w:sz w:val="26"/>
          <w:szCs w:val="26"/>
        </w:rPr>
        <w:t xml:space="preserve">:  it </w:t>
      </w:r>
      <w:r w:rsidR="00454282">
        <w:rPr>
          <w:sz w:val="26"/>
          <w:szCs w:val="26"/>
        </w:rPr>
        <w:t>increas</w:t>
      </w:r>
      <w:r w:rsidR="00F872EF">
        <w:rPr>
          <w:sz w:val="26"/>
          <w:szCs w:val="26"/>
        </w:rPr>
        <w:t>es</w:t>
      </w:r>
      <w:r w:rsidR="00454282">
        <w:rPr>
          <w:sz w:val="26"/>
          <w:szCs w:val="26"/>
        </w:rPr>
        <w:t xml:space="preserve"> consumer awareness about the transition to market-based rates</w:t>
      </w:r>
      <w:r w:rsidR="0025247C">
        <w:rPr>
          <w:sz w:val="26"/>
          <w:szCs w:val="26"/>
        </w:rPr>
        <w:t xml:space="preserve"> </w:t>
      </w:r>
      <w:r w:rsidR="00F872EF">
        <w:rPr>
          <w:sz w:val="26"/>
          <w:szCs w:val="26"/>
        </w:rPr>
        <w:t xml:space="preserve">and it educates consumers about </w:t>
      </w:r>
      <w:r w:rsidR="0025247C">
        <w:rPr>
          <w:sz w:val="26"/>
          <w:szCs w:val="26"/>
        </w:rPr>
        <w:t>the availability of EE&amp;C programs</w:t>
      </w:r>
      <w:r w:rsidR="00454282">
        <w:rPr>
          <w:sz w:val="26"/>
          <w:szCs w:val="26"/>
        </w:rPr>
        <w:t>.</w:t>
      </w:r>
      <w:r w:rsidR="009D46AE">
        <w:rPr>
          <w:sz w:val="26"/>
          <w:szCs w:val="26"/>
        </w:rPr>
        <w:t xml:space="preserve">  </w:t>
      </w:r>
      <w:r w:rsidR="00AB14B6">
        <w:rPr>
          <w:sz w:val="26"/>
          <w:szCs w:val="26"/>
        </w:rPr>
        <w:t>As a result, only a portion of these costs are properly attributed to the implementation Act 129 Plans.  We direct the</w:t>
      </w:r>
      <w:r w:rsidR="001C59AE">
        <w:rPr>
          <w:sz w:val="26"/>
          <w:szCs w:val="26"/>
        </w:rPr>
        <w:t>se</w:t>
      </w:r>
      <w:r w:rsidR="00AB14B6">
        <w:rPr>
          <w:sz w:val="26"/>
          <w:szCs w:val="26"/>
        </w:rPr>
        <w:t xml:space="preserve"> Companies to track these expenses </w:t>
      </w:r>
      <w:r w:rsidR="001C59AE">
        <w:rPr>
          <w:sz w:val="26"/>
          <w:szCs w:val="26"/>
        </w:rPr>
        <w:t xml:space="preserve">proportionally </w:t>
      </w:r>
      <w:r w:rsidR="00356761">
        <w:rPr>
          <w:sz w:val="26"/>
          <w:szCs w:val="26"/>
        </w:rPr>
        <w:t xml:space="preserve">for </w:t>
      </w:r>
      <w:r w:rsidR="001C59AE">
        <w:rPr>
          <w:sz w:val="26"/>
          <w:szCs w:val="26"/>
        </w:rPr>
        <w:t>report</w:t>
      </w:r>
      <w:r w:rsidR="00356761">
        <w:rPr>
          <w:sz w:val="26"/>
          <w:szCs w:val="26"/>
        </w:rPr>
        <w:t>ing and reconciliation purpose</w:t>
      </w:r>
      <w:r w:rsidR="001C59AE">
        <w:rPr>
          <w:sz w:val="26"/>
          <w:szCs w:val="26"/>
        </w:rPr>
        <w:t>s</w:t>
      </w:r>
      <w:r w:rsidR="00356761">
        <w:rPr>
          <w:sz w:val="26"/>
          <w:szCs w:val="26"/>
        </w:rPr>
        <w:t>.</w:t>
      </w:r>
    </w:p>
    <w:p w:rsidR="00AB14B6" w:rsidRDefault="00AB14B6" w:rsidP="00A7464F">
      <w:pPr>
        <w:spacing w:line="360" w:lineRule="auto"/>
        <w:ind w:firstLine="1440"/>
        <w:rPr>
          <w:sz w:val="26"/>
          <w:szCs w:val="26"/>
        </w:rPr>
      </w:pPr>
    </w:p>
    <w:p w:rsidR="00FB0ACA" w:rsidRDefault="00DD4F74" w:rsidP="00FB0ACA">
      <w:pPr>
        <w:pStyle w:val="Heading4"/>
      </w:pPr>
      <w:bookmarkStart w:id="147" w:name="_Toc242516288"/>
      <w:bookmarkStart w:id="148" w:name="_Toc244499344"/>
      <w:r>
        <w:t>d</w:t>
      </w:r>
      <w:r w:rsidR="00FB0ACA">
        <w:t>.</w:t>
      </w:r>
      <w:r w:rsidR="00FB0ACA">
        <w:tab/>
        <w:t>Compliance with the Two Percent Cap</w:t>
      </w:r>
      <w:bookmarkEnd w:id="147"/>
      <w:bookmarkEnd w:id="148"/>
    </w:p>
    <w:p w:rsidR="00A7464F" w:rsidRDefault="00A7464F" w:rsidP="00A7464F">
      <w:pPr>
        <w:spacing w:line="360" w:lineRule="auto"/>
        <w:ind w:firstLine="1440"/>
        <w:rPr>
          <w:szCs w:val="26"/>
        </w:rPr>
      </w:pPr>
      <w:r w:rsidRPr="001672E8">
        <w:rPr>
          <w:szCs w:val="26"/>
        </w:rPr>
        <w:t xml:space="preserve">  </w:t>
      </w:r>
    </w:p>
    <w:p w:rsidR="00FB0ACA" w:rsidRDefault="00713216" w:rsidP="00FB0ACA">
      <w:pPr>
        <w:pStyle w:val="Heading5"/>
      </w:pPr>
      <w:bookmarkStart w:id="149" w:name="_Toc242516289"/>
      <w:bookmarkStart w:id="150" w:name="_Toc244499345"/>
      <w:r>
        <w:t>(</w:t>
      </w:r>
      <w:r w:rsidR="00FB0ACA">
        <w:t>1</w:t>
      </w:r>
      <w:r>
        <w:t>)</w:t>
      </w:r>
      <w:r w:rsidR="00FB0ACA">
        <w:tab/>
        <w:t>Positions of the Parties</w:t>
      </w:r>
      <w:bookmarkEnd w:id="149"/>
      <w:bookmarkEnd w:id="150"/>
    </w:p>
    <w:p w:rsidR="00424F78" w:rsidRDefault="00424F78" w:rsidP="005B1144">
      <w:pPr>
        <w:spacing w:line="360" w:lineRule="auto"/>
        <w:ind w:firstLine="1440"/>
        <w:rPr>
          <w:sz w:val="26"/>
          <w:szCs w:val="26"/>
        </w:rPr>
      </w:pPr>
    </w:p>
    <w:p w:rsidR="00B41997" w:rsidRDefault="0083378A" w:rsidP="00A40EF9">
      <w:pPr>
        <w:spacing w:line="360" w:lineRule="auto"/>
        <w:ind w:firstLine="1440"/>
        <w:rPr>
          <w:sz w:val="26"/>
          <w:szCs w:val="26"/>
        </w:rPr>
      </w:pPr>
      <w:r>
        <w:rPr>
          <w:sz w:val="26"/>
          <w:szCs w:val="26"/>
        </w:rPr>
        <w:t xml:space="preserve">Having determined the method of calculating the </w:t>
      </w:r>
      <w:r w:rsidR="00C913F1">
        <w:rPr>
          <w:sz w:val="26"/>
          <w:szCs w:val="26"/>
        </w:rPr>
        <w:t>2%</w:t>
      </w:r>
      <w:r>
        <w:rPr>
          <w:sz w:val="26"/>
          <w:szCs w:val="26"/>
        </w:rPr>
        <w:t xml:space="preserve"> cap, and the costs that are and are not subject to that cap, we consider whether the Companies</w:t>
      </w:r>
      <w:r w:rsidR="0057210D">
        <w:rPr>
          <w:sz w:val="26"/>
          <w:szCs w:val="26"/>
        </w:rPr>
        <w:t>’ Plans</w:t>
      </w:r>
      <w:r>
        <w:rPr>
          <w:sz w:val="26"/>
          <w:szCs w:val="26"/>
        </w:rPr>
        <w:t xml:space="preserve"> comply with that cap.</w:t>
      </w:r>
      <w:r w:rsidR="00EC2404">
        <w:rPr>
          <w:sz w:val="26"/>
          <w:szCs w:val="26"/>
        </w:rPr>
        <w:t xml:space="preserve">  We begin by noting that the Companies propose a</w:t>
      </w:r>
      <w:r w:rsidR="00B23EF8">
        <w:rPr>
          <w:sz w:val="26"/>
          <w:szCs w:val="26"/>
        </w:rPr>
        <w:t xml:space="preserve"> levelized cost recovery mechanism.  That is, the Companies propose an</w:t>
      </w:r>
      <w:r w:rsidR="00C413D4">
        <w:rPr>
          <w:sz w:val="26"/>
          <w:szCs w:val="26"/>
        </w:rPr>
        <w:t xml:space="preserve"> </w:t>
      </w:r>
      <w:r w:rsidR="00507B63">
        <w:rPr>
          <w:sz w:val="26"/>
          <w:szCs w:val="26"/>
        </w:rPr>
        <w:t>EEC-C Rider</w:t>
      </w:r>
      <w:r w:rsidR="00C413D4">
        <w:rPr>
          <w:sz w:val="26"/>
          <w:szCs w:val="26"/>
        </w:rPr>
        <w:t xml:space="preserve"> that will remain in place for the entire life of the Plan</w:t>
      </w:r>
      <w:r w:rsidR="00982309">
        <w:rPr>
          <w:sz w:val="26"/>
          <w:szCs w:val="26"/>
        </w:rPr>
        <w:t>s</w:t>
      </w:r>
      <w:r w:rsidR="00C413D4">
        <w:rPr>
          <w:sz w:val="26"/>
          <w:szCs w:val="26"/>
        </w:rPr>
        <w:t>.  Th</w:t>
      </w:r>
      <w:r w:rsidR="004E030A">
        <w:rPr>
          <w:sz w:val="26"/>
          <w:szCs w:val="26"/>
        </w:rPr>
        <w:t xml:space="preserve">is charge will generate revenues that exceed Plan </w:t>
      </w:r>
      <w:r w:rsidR="00C413D4">
        <w:rPr>
          <w:sz w:val="26"/>
          <w:szCs w:val="26"/>
        </w:rPr>
        <w:t>costs in some years</w:t>
      </w:r>
      <w:r w:rsidR="004E030A">
        <w:rPr>
          <w:sz w:val="26"/>
          <w:szCs w:val="26"/>
        </w:rPr>
        <w:t xml:space="preserve">, but are less than Plan costs in other years.  </w:t>
      </w:r>
      <w:r w:rsidR="00C413D4">
        <w:rPr>
          <w:sz w:val="26"/>
          <w:szCs w:val="26"/>
        </w:rPr>
        <w:t>FirstEnergy alleges that the costs of the Plan</w:t>
      </w:r>
      <w:r w:rsidR="00C05E45">
        <w:rPr>
          <w:sz w:val="26"/>
          <w:szCs w:val="26"/>
        </w:rPr>
        <w:t>s</w:t>
      </w:r>
      <w:r w:rsidR="00946A92">
        <w:rPr>
          <w:sz w:val="26"/>
          <w:szCs w:val="26"/>
        </w:rPr>
        <w:t xml:space="preserve">, over the </w:t>
      </w:r>
      <w:r w:rsidR="00C413D4">
        <w:rPr>
          <w:sz w:val="26"/>
          <w:szCs w:val="26"/>
        </w:rPr>
        <w:t xml:space="preserve">life of the Plan, do not exceed the </w:t>
      </w:r>
      <w:r w:rsidR="00C913F1">
        <w:rPr>
          <w:sz w:val="26"/>
          <w:szCs w:val="26"/>
        </w:rPr>
        <w:t>2%</w:t>
      </w:r>
      <w:r w:rsidR="004E030A">
        <w:rPr>
          <w:sz w:val="26"/>
          <w:szCs w:val="26"/>
        </w:rPr>
        <w:t xml:space="preserve"> cap, </w:t>
      </w:r>
      <w:r w:rsidR="00C05E45">
        <w:rPr>
          <w:sz w:val="26"/>
          <w:szCs w:val="26"/>
        </w:rPr>
        <w:t xml:space="preserve">which is calculated </w:t>
      </w:r>
      <w:r w:rsidR="004E030A">
        <w:rPr>
          <w:sz w:val="26"/>
          <w:szCs w:val="26"/>
        </w:rPr>
        <w:t xml:space="preserve">based on </w:t>
      </w:r>
      <w:r w:rsidR="00C913F1">
        <w:rPr>
          <w:sz w:val="26"/>
          <w:szCs w:val="26"/>
        </w:rPr>
        <w:t>2%</w:t>
      </w:r>
      <w:r w:rsidR="004E030A">
        <w:rPr>
          <w:sz w:val="26"/>
          <w:szCs w:val="26"/>
        </w:rPr>
        <w:t xml:space="preserve"> of </w:t>
      </w:r>
      <w:r w:rsidR="00C05E45">
        <w:rPr>
          <w:sz w:val="26"/>
          <w:szCs w:val="26"/>
        </w:rPr>
        <w:t>the Companies’</w:t>
      </w:r>
      <w:r w:rsidR="004E030A">
        <w:rPr>
          <w:sz w:val="26"/>
          <w:szCs w:val="26"/>
        </w:rPr>
        <w:t xml:space="preserve"> revenue</w:t>
      </w:r>
      <w:r w:rsidR="00C05E45">
        <w:rPr>
          <w:sz w:val="26"/>
          <w:szCs w:val="26"/>
        </w:rPr>
        <w:t>s</w:t>
      </w:r>
      <w:r w:rsidR="004E030A">
        <w:rPr>
          <w:sz w:val="26"/>
          <w:szCs w:val="26"/>
        </w:rPr>
        <w:t xml:space="preserve"> as of December 31, 2006</w:t>
      </w:r>
      <w:r w:rsidR="00982309">
        <w:rPr>
          <w:sz w:val="26"/>
          <w:szCs w:val="26"/>
        </w:rPr>
        <w:t>,</w:t>
      </w:r>
      <w:r w:rsidR="004E030A">
        <w:rPr>
          <w:sz w:val="26"/>
          <w:szCs w:val="26"/>
        </w:rPr>
        <w:t xml:space="preserve"> multiplied by four (due to the four-year life of the Plans).</w:t>
      </w:r>
      <w:r w:rsidR="00591237">
        <w:rPr>
          <w:sz w:val="26"/>
          <w:szCs w:val="26"/>
        </w:rPr>
        <w:t xml:space="preserve">  No Party has objected to this aspect of the Plan</w:t>
      </w:r>
      <w:r w:rsidR="00982309">
        <w:rPr>
          <w:sz w:val="26"/>
          <w:szCs w:val="26"/>
        </w:rPr>
        <w:t>s</w:t>
      </w:r>
      <w:r w:rsidR="00A10A4A">
        <w:rPr>
          <w:sz w:val="26"/>
          <w:szCs w:val="26"/>
        </w:rPr>
        <w:t>.</w:t>
      </w:r>
      <w:r w:rsidR="00EC2404">
        <w:rPr>
          <w:sz w:val="26"/>
          <w:szCs w:val="26"/>
        </w:rPr>
        <w:t xml:space="preserve"> </w:t>
      </w:r>
    </w:p>
    <w:p w:rsidR="00B41997" w:rsidRDefault="00B41997" w:rsidP="00A40EF9">
      <w:pPr>
        <w:spacing w:line="360" w:lineRule="auto"/>
        <w:ind w:firstLine="1440"/>
        <w:rPr>
          <w:sz w:val="26"/>
          <w:szCs w:val="26"/>
        </w:rPr>
      </w:pPr>
    </w:p>
    <w:p w:rsidR="00A40EF9" w:rsidRDefault="00A40EF9" w:rsidP="00A40EF9">
      <w:pPr>
        <w:spacing w:line="360" w:lineRule="auto"/>
        <w:ind w:firstLine="1440"/>
        <w:rPr>
          <w:sz w:val="26"/>
          <w:szCs w:val="26"/>
        </w:rPr>
      </w:pPr>
      <w:r>
        <w:rPr>
          <w:sz w:val="26"/>
          <w:szCs w:val="26"/>
        </w:rPr>
        <w:lastRenderedPageBreak/>
        <w:t xml:space="preserve">We </w:t>
      </w:r>
      <w:r w:rsidR="00B41997">
        <w:rPr>
          <w:sz w:val="26"/>
          <w:szCs w:val="26"/>
        </w:rPr>
        <w:t xml:space="preserve">also note </w:t>
      </w:r>
      <w:r>
        <w:rPr>
          <w:sz w:val="26"/>
          <w:szCs w:val="26"/>
        </w:rPr>
        <w:t xml:space="preserve">that FirstEnergy’s September 21, 2009 Plans made significant changes to the Companies’ proposed cost and revenue data.  </w:t>
      </w:r>
      <w:r w:rsidR="004A2E4E">
        <w:rPr>
          <w:sz w:val="26"/>
          <w:szCs w:val="26"/>
        </w:rPr>
        <w:t xml:space="preserve">One of these changes was </w:t>
      </w:r>
      <w:r>
        <w:rPr>
          <w:sz w:val="26"/>
          <w:szCs w:val="26"/>
        </w:rPr>
        <w:t>that the Companies calculated the cap</w:t>
      </w:r>
      <w:r w:rsidR="00465AD0">
        <w:rPr>
          <w:sz w:val="26"/>
          <w:szCs w:val="26"/>
        </w:rPr>
        <w:t xml:space="preserve"> using </w:t>
      </w:r>
      <w:r>
        <w:rPr>
          <w:sz w:val="26"/>
          <w:szCs w:val="26"/>
        </w:rPr>
        <w:t xml:space="preserve">four </w:t>
      </w:r>
      <w:r w:rsidR="00465AD0">
        <w:rPr>
          <w:sz w:val="26"/>
          <w:szCs w:val="26"/>
        </w:rPr>
        <w:t xml:space="preserve">complete </w:t>
      </w:r>
      <w:r>
        <w:rPr>
          <w:sz w:val="26"/>
          <w:szCs w:val="26"/>
        </w:rPr>
        <w:t xml:space="preserve">years </w:t>
      </w:r>
      <w:r w:rsidR="004A2E4E">
        <w:rPr>
          <w:sz w:val="26"/>
          <w:szCs w:val="26"/>
        </w:rPr>
        <w:t xml:space="preserve">(i.e., forty-eight months) </w:t>
      </w:r>
      <w:r w:rsidR="00465AD0">
        <w:rPr>
          <w:sz w:val="26"/>
          <w:szCs w:val="26"/>
        </w:rPr>
        <w:t>in l</w:t>
      </w:r>
      <w:r>
        <w:rPr>
          <w:sz w:val="26"/>
          <w:szCs w:val="26"/>
        </w:rPr>
        <w:t>ieu of the forty-three months originally employed by the Companies.  FirstEnergy RB at 2-3.</w:t>
      </w:r>
    </w:p>
    <w:p w:rsidR="00A40EF9" w:rsidRDefault="00A40EF9" w:rsidP="00553FBD">
      <w:pPr>
        <w:spacing w:line="360" w:lineRule="auto"/>
        <w:ind w:firstLine="1440"/>
        <w:rPr>
          <w:sz w:val="26"/>
          <w:szCs w:val="26"/>
        </w:rPr>
      </w:pPr>
    </w:p>
    <w:p w:rsidR="00397BDF" w:rsidRDefault="00A40EF9" w:rsidP="00553FBD">
      <w:pPr>
        <w:spacing w:line="360" w:lineRule="auto"/>
        <w:ind w:firstLine="1440"/>
        <w:rPr>
          <w:sz w:val="26"/>
          <w:szCs w:val="26"/>
        </w:rPr>
      </w:pPr>
      <w:r>
        <w:rPr>
          <w:sz w:val="26"/>
          <w:szCs w:val="26"/>
        </w:rPr>
        <w:t>Chart 1 below shows Plan costs, exclusive of common costs.  Chart 2 below shows common costs.  Finally, Chart 3 below shows Pla</w:t>
      </w:r>
      <w:r w:rsidR="00465AD0">
        <w:rPr>
          <w:sz w:val="26"/>
          <w:szCs w:val="26"/>
        </w:rPr>
        <w:t xml:space="preserve">n costs </w:t>
      </w:r>
      <w:r w:rsidR="004A2E4E">
        <w:rPr>
          <w:sz w:val="26"/>
          <w:szCs w:val="26"/>
        </w:rPr>
        <w:t>including</w:t>
      </w:r>
      <w:r w:rsidR="00465AD0">
        <w:rPr>
          <w:sz w:val="26"/>
          <w:szCs w:val="26"/>
        </w:rPr>
        <w:t xml:space="preserve"> common costs.  As shown on that chart, </w:t>
      </w:r>
      <w:r w:rsidR="00621FF3">
        <w:rPr>
          <w:sz w:val="26"/>
          <w:szCs w:val="26"/>
        </w:rPr>
        <w:t>Total</w:t>
      </w:r>
      <w:r w:rsidR="00825AD8">
        <w:rPr>
          <w:sz w:val="26"/>
          <w:szCs w:val="26"/>
        </w:rPr>
        <w:t xml:space="preserve"> Plan costs for </w:t>
      </w:r>
      <w:r w:rsidR="00465AD0">
        <w:rPr>
          <w:sz w:val="26"/>
          <w:szCs w:val="26"/>
        </w:rPr>
        <w:t xml:space="preserve">Penn Power are above the </w:t>
      </w:r>
      <w:r w:rsidR="00553FBD">
        <w:rPr>
          <w:sz w:val="26"/>
          <w:szCs w:val="26"/>
        </w:rPr>
        <w:t xml:space="preserve">2% </w:t>
      </w:r>
      <w:r w:rsidR="00825AD8">
        <w:rPr>
          <w:sz w:val="26"/>
          <w:szCs w:val="26"/>
        </w:rPr>
        <w:t xml:space="preserve">cap. </w:t>
      </w:r>
    </w:p>
    <w:p w:rsidR="00825AD8" w:rsidRDefault="00825AD8" w:rsidP="00553FBD">
      <w:pPr>
        <w:spacing w:line="360" w:lineRule="auto"/>
        <w:ind w:firstLine="1440"/>
        <w:rPr>
          <w:sz w:val="26"/>
          <w:szCs w:val="26"/>
        </w:rPr>
      </w:pPr>
      <w:r>
        <w:rPr>
          <w:sz w:val="26"/>
          <w:szCs w:val="26"/>
        </w:rPr>
        <w:t xml:space="preserve"> </w:t>
      </w:r>
    </w:p>
    <w:p w:rsidR="00553FBD" w:rsidRPr="00AF130F" w:rsidRDefault="00553FBD" w:rsidP="00397BDF">
      <w:pPr>
        <w:spacing w:after="200" w:line="276" w:lineRule="auto"/>
        <w:rPr>
          <w:b/>
          <w:sz w:val="26"/>
          <w:szCs w:val="26"/>
        </w:rPr>
      </w:pPr>
      <w:r w:rsidRPr="00AF130F">
        <w:rPr>
          <w:b/>
          <w:sz w:val="26"/>
          <w:szCs w:val="26"/>
        </w:rPr>
        <w:t>Chart 1</w:t>
      </w:r>
      <w:r>
        <w:rPr>
          <w:b/>
          <w:sz w:val="26"/>
          <w:szCs w:val="26"/>
        </w:rPr>
        <w:t xml:space="preserve"> – Plan Costs Exclusive of Common Costs:</w:t>
      </w:r>
    </w:p>
    <w:tbl>
      <w:tblPr>
        <w:tblStyle w:val="TableGrid"/>
        <w:tblW w:w="0" w:type="auto"/>
        <w:tblLook w:val="04A0"/>
      </w:tblPr>
      <w:tblGrid>
        <w:gridCol w:w="2394"/>
        <w:gridCol w:w="2394"/>
        <w:gridCol w:w="2394"/>
        <w:gridCol w:w="2394"/>
      </w:tblGrid>
      <w:tr w:rsidR="00553FBD" w:rsidTr="0057210D">
        <w:tc>
          <w:tcPr>
            <w:tcW w:w="2394" w:type="dxa"/>
          </w:tcPr>
          <w:p w:rsidR="00553FBD" w:rsidRDefault="00553FBD" w:rsidP="0057210D">
            <w:pPr>
              <w:spacing w:line="360" w:lineRule="auto"/>
              <w:rPr>
                <w:sz w:val="26"/>
                <w:szCs w:val="26"/>
              </w:rPr>
            </w:pPr>
          </w:p>
        </w:tc>
        <w:tc>
          <w:tcPr>
            <w:tcW w:w="2394" w:type="dxa"/>
          </w:tcPr>
          <w:p w:rsidR="00553FBD" w:rsidRPr="00732D89" w:rsidRDefault="00553FBD" w:rsidP="0057210D">
            <w:pPr>
              <w:spacing w:line="360" w:lineRule="auto"/>
              <w:jc w:val="center"/>
              <w:rPr>
                <w:b/>
                <w:sz w:val="26"/>
                <w:szCs w:val="26"/>
                <w:u w:val="single"/>
              </w:rPr>
            </w:pPr>
            <w:r w:rsidRPr="00732D89">
              <w:rPr>
                <w:b/>
                <w:sz w:val="26"/>
                <w:szCs w:val="26"/>
                <w:u w:val="single"/>
              </w:rPr>
              <w:t>Met Ed</w:t>
            </w:r>
          </w:p>
        </w:tc>
        <w:tc>
          <w:tcPr>
            <w:tcW w:w="2394" w:type="dxa"/>
          </w:tcPr>
          <w:p w:rsidR="00553FBD" w:rsidRPr="00732D89" w:rsidRDefault="00553FBD" w:rsidP="0057210D">
            <w:pPr>
              <w:spacing w:line="360" w:lineRule="auto"/>
              <w:jc w:val="center"/>
              <w:rPr>
                <w:b/>
                <w:sz w:val="26"/>
                <w:szCs w:val="26"/>
                <w:u w:val="single"/>
              </w:rPr>
            </w:pPr>
            <w:r w:rsidRPr="00732D89">
              <w:rPr>
                <w:b/>
                <w:sz w:val="26"/>
                <w:szCs w:val="26"/>
                <w:u w:val="single"/>
              </w:rPr>
              <w:t>Penelec</w:t>
            </w:r>
          </w:p>
        </w:tc>
        <w:tc>
          <w:tcPr>
            <w:tcW w:w="2394" w:type="dxa"/>
          </w:tcPr>
          <w:p w:rsidR="00553FBD" w:rsidRPr="00732D89" w:rsidRDefault="00553FBD" w:rsidP="0057210D">
            <w:pPr>
              <w:spacing w:line="360" w:lineRule="auto"/>
              <w:jc w:val="center"/>
              <w:rPr>
                <w:b/>
                <w:sz w:val="26"/>
                <w:szCs w:val="26"/>
                <w:u w:val="single"/>
              </w:rPr>
            </w:pPr>
            <w:r w:rsidRPr="00732D89">
              <w:rPr>
                <w:b/>
                <w:sz w:val="26"/>
                <w:szCs w:val="26"/>
                <w:u w:val="single"/>
              </w:rPr>
              <w:t>Penn Power</w:t>
            </w:r>
          </w:p>
        </w:tc>
      </w:tr>
      <w:tr w:rsidR="00553FBD" w:rsidTr="0057210D">
        <w:tc>
          <w:tcPr>
            <w:tcW w:w="2394" w:type="dxa"/>
          </w:tcPr>
          <w:p w:rsidR="00553FBD" w:rsidRPr="00732D89" w:rsidRDefault="00553FBD" w:rsidP="0057210D">
            <w:pPr>
              <w:spacing w:line="360" w:lineRule="auto"/>
              <w:jc w:val="center"/>
              <w:rPr>
                <w:b/>
                <w:sz w:val="26"/>
                <w:szCs w:val="26"/>
                <w:u w:val="single"/>
              </w:rPr>
            </w:pPr>
            <w:r w:rsidRPr="00732D89">
              <w:rPr>
                <w:b/>
                <w:sz w:val="26"/>
                <w:szCs w:val="26"/>
                <w:u w:val="single"/>
              </w:rPr>
              <w:t>2006 Revenue</w:t>
            </w:r>
          </w:p>
        </w:tc>
        <w:tc>
          <w:tcPr>
            <w:tcW w:w="2394" w:type="dxa"/>
          </w:tcPr>
          <w:p w:rsidR="00553FBD" w:rsidRDefault="00553FBD" w:rsidP="0057210D">
            <w:pPr>
              <w:spacing w:line="360" w:lineRule="auto"/>
              <w:jc w:val="center"/>
              <w:rPr>
                <w:sz w:val="26"/>
                <w:szCs w:val="26"/>
              </w:rPr>
            </w:pPr>
            <w:r>
              <w:rPr>
                <w:sz w:val="26"/>
                <w:szCs w:val="26"/>
              </w:rPr>
              <w:t>$1,243,344,716</w:t>
            </w:r>
          </w:p>
        </w:tc>
        <w:tc>
          <w:tcPr>
            <w:tcW w:w="2394" w:type="dxa"/>
          </w:tcPr>
          <w:p w:rsidR="00553FBD" w:rsidRDefault="00553FBD" w:rsidP="0057210D">
            <w:pPr>
              <w:spacing w:line="360" w:lineRule="auto"/>
              <w:jc w:val="center"/>
              <w:rPr>
                <w:sz w:val="26"/>
                <w:szCs w:val="26"/>
              </w:rPr>
            </w:pPr>
            <w:r>
              <w:rPr>
                <w:sz w:val="26"/>
                <w:szCs w:val="26"/>
              </w:rPr>
              <w:t>$1,148,737,096</w:t>
            </w:r>
          </w:p>
        </w:tc>
        <w:tc>
          <w:tcPr>
            <w:tcW w:w="2394" w:type="dxa"/>
          </w:tcPr>
          <w:p w:rsidR="00553FBD" w:rsidRDefault="00553FBD" w:rsidP="0057210D">
            <w:pPr>
              <w:spacing w:line="360" w:lineRule="auto"/>
              <w:jc w:val="center"/>
              <w:rPr>
                <w:sz w:val="26"/>
                <w:szCs w:val="26"/>
              </w:rPr>
            </w:pPr>
            <w:r>
              <w:rPr>
                <w:sz w:val="26"/>
                <w:szCs w:val="26"/>
              </w:rPr>
              <w:t>$332,989,436</w:t>
            </w:r>
          </w:p>
        </w:tc>
      </w:tr>
      <w:tr w:rsidR="00553FBD" w:rsidTr="00B646BC">
        <w:tc>
          <w:tcPr>
            <w:tcW w:w="2394" w:type="dxa"/>
            <w:vAlign w:val="center"/>
          </w:tcPr>
          <w:p w:rsidR="00553FBD" w:rsidRDefault="00C913F1" w:rsidP="00C913F1">
            <w:pPr>
              <w:jc w:val="center"/>
              <w:rPr>
                <w:sz w:val="26"/>
                <w:szCs w:val="26"/>
              </w:rPr>
            </w:pPr>
            <w:r>
              <w:rPr>
                <w:sz w:val="26"/>
                <w:szCs w:val="26"/>
              </w:rPr>
              <w:t xml:space="preserve">2% </w:t>
            </w:r>
            <w:r w:rsidR="00553FBD">
              <w:rPr>
                <w:sz w:val="26"/>
                <w:szCs w:val="26"/>
              </w:rPr>
              <w:t>Annual Cap</w:t>
            </w:r>
            <w:r w:rsidR="00553FBD">
              <w:rPr>
                <w:rStyle w:val="FootnoteReference"/>
                <w:sz w:val="26"/>
                <w:szCs w:val="26"/>
              </w:rPr>
              <w:footnoteReference w:id="27"/>
            </w:r>
          </w:p>
        </w:tc>
        <w:tc>
          <w:tcPr>
            <w:tcW w:w="2394" w:type="dxa"/>
            <w:vAlign w:val="center"/>
          </w:tcPr>
          <w:p w:rsidR="00553FBD" w:rsidRDefault="00553FBD" w:rsidP="0057210D">
            <w:pPr>
              <w:jc w:val="center"/>
              <w:rPr>
                <w:sz w:val="26"/>
                <w:szCs w:val="26"/>
              </w:rPr>
            </w:pPr>
            <w:r>
              <w:rPr>
                <w:sz w:val="26"/>
                <w:szCs w:val="26"/>
              </w:rPr>
              <w:t>$24,866,894</w:t>
            </w:r>
          </w:p>
        </w:tc>
        <w:tc>
          <w:tcPr>
            <w:tcW w:w="2394" w:type="dxa"/>
            <w:vAlign w:val="center"/>
          </w:tcPr>
          <w:p w:rsidR="00553FBD" w:rsidRDefault="00553FBD" w:rsidP="0057210D">
            <w:pPr>
              <w:jc w:val="center"/>
              <w:rPr>
                <w:sz w:val="26"/>
                <w:szCs w:val="26"/>
              </w:rPr>
            </w:pPr>
            <w:r>
              <w:rPr>
                <w:sz w:val="26"/>
                <w:szCs w:val="26"/>
              </w:rPr>
              <w:t>$22,974,742</w:t>
            </w:r>
          </w:p>
        </w:tc>
        <w:tc>
          <w:tcPr>
            <w:tcW w:w="2394" w:type="dxa"/>
            <w:vAlign w:val="center"/>
          </w:tcPr>
          <w:p w:rsidR="00553FBD" w:rsidRDefault="00553FBD" w:rsidP="00B646BC">
            <w:pPr>
              <w:jc w:val="center"/>
              <w:rPr>
                <w:sz w:val="26"/>
                <w:szCs w:val="26"/>
              </w:rPr>
            </w:pPr>
            <w:r>
              <w:rPr>
                <w:sz w:val="26"/>
                <w:szCs w:val="26"/>
              </w:rPr>
              <w:t>$6,659,789</w:t>
            </w:r>
          </w:p>
        </w:tc>
      </w:tr>
      <w:tr w:rsidR="00553FBD" w:rsidTr="0057210D">
        <w:tc>
          <w:tcPr>
            <w:tcW w:w="2394" w:type="dxa"/>
            <w:vAlign w:val="bottom"/>
          </w:tcPr>
          <w:p w:rsidR="00553FBD" w:rsidRDefault="00553FBD" w:rsidP="0057210D">
            <w:pPr>
              <w:spacing w:line="360" w:lineRule="auto"/>
              <w:jc w:val="center"/>
              <w:rPr>
                <w:sz w:val="26"/>
                <w:szCs w:val="26"/>
              </w:rPr>
            </w:pPr>
            <w:r>
              <w:rPr>
                <w:sz w:val="26"/>
                <w:szCs w:val="26"/>
              </w:rPr>
              <w:t>Program Cap</w:t>
            </w:r>
            <w:r>
              <w:rPr>
                <w:rStyle w:val="FootnoteReference"/>
                <w:sz w:val="26"/>
                <w:szCs w:val="26"/>
              </w:rPr>
              <w:footnoteReference w:id="28"/>
            </w:r>
          </w:p>
        </w:tc>
        <w:tc>
          <w:tcPr>
            <w:tcW w:w="2394" w:type="dxa"/>
            <w:vAlign w:val="bottom"/>
          </w:tcPr>
          <w:p w:rsidR="00553FBD" w:rsidRDefault="00553FBD" w:rsidP="0057210D">
            <w:pPr>
              <w:jc w:val="center"/>
              <w:rPr>
                <w:sz w:val="26"/>
                <w:szCs w:val="26"/>
              </w:rPr>
            </w:pPr>
            <w:r>
              <w:rPr>
                <w:sz w:val="26"/>
                <w:szCs w:val="26"/>
              </w:rPr>
              <w:t>$99,467,577</w:t>
            </w:r>
          </w:p>
        </w:tc>
        <w:tc>
          <w:tcPr>
            <w:tcW w:w="2394" w:type="dxa"/>
            <w:vAlign w:val="bottom"/>
          </w:tcPr>
          <w:p w:rsidR="00553FBD" w:rsidRDefault="00553FBD" w:rsidP="0057210D">
            <w:pPr>
              <w:jc w:val="center"/>
              <w:rPr>
                <w:sz w:val="26"/>
                <w:szCs w:val="26"/>
              </w:rPr>
            </w:pPr>
            <w:r>
              <w:rPr>
                <w:sz w:val="26"/>
                <w:szCs w:val="26"/>
              </w:rPr>
              <w:t>$91,898,968</w:t>
            </w:r>
          </w:p>
        </w:tc>
        <w:tc>
          <w:tcPr>
            <w:tcW w:w="2394" w:type="dxa"/>
            <w:vAlign w:val="bottom"/>
          </w:tcPr>
          <w:p w:rsidR="00553FBD" w:rsidRDefault="00553FBD" w:rsidP="0057210D">
            <w:pPr>
              <w:jc w:val="center"/>
              <w:rPr>
                <w:sz w:val="26"/>
                <w:szCs w:val="26"/>
              </w:rPr>
            </w:pPr>
            <w:r>
              <w:rPr>
                <w:sz w:val="26"/>
                <w:szCs w:val="26"/>
              </w:rPr>
              <w:t>$26,639,155</w:t>
            </w:r>
          </w:p>
        </w:tc>
      </w:tr>
      <w:tr w:rsidR="00553FBD" w:rsidTr="0057210D">
        <w:tc>
          <w:tcPr>
            <w:tcW w:w="2394" w:type="dxa"/>
          </w:tcPr>
          <w:p w:rsidR="00553FBD" w:rsidRPr="009E5F46" w:rsidRDefault="00553FBD" w:rsidP="0057210D">
            <w:pPr>
              <w:jc w:val="center"/>
              <w:rPr>
                <w:sz w:val="26"/>
                <w:szCs w:val="26"/>
              </w:rPr>
            </w:pPr>
            <w:r>
              <w:rPr>
                <w:sz w:val="26"/>
                <w:szCs w:val="26"/>
              </w:rPr>
              <w:t xml:space="preserve">Cost Claim per </w:t>
            </w:r>
            <w:r w:rsidR="000414C0">
              <w:rPr>
                <w:i/>
                <w:sz w:val="26"/>
                <w:szCs w:val="26"/>
              </w:rPr>
              <w:t>Initial</w:t>
            </w:r>
            <w:r w:rsidRPr="00223170">
              <w:rPr>
                <w:i/>
                <w:sz w:val="26"/>
                <w:szCs w:val="26"/>
              </w:rPr>
              <w:t xml:space="preserve"> Plan</w:t>
            </w:r>
            <w:r>
              <w:rPr>
                <w:rStyle w:val="FootnoteReference"/>
                <w:i/>
                <w:sz w:val="26"/>
                <w:szCs w:val="26"/>
              </w:rPr>
              <w:footnoteReference w:id="29"/>
            </w:r>
          </w:p>
        </w:tc>
        <w:tc>
          <w:tcPr>
            <w:tcW w:w="2394" w:type="dxa"/>
          </w:tcPr>
          <w:p w:rsidR="00553FBD" w:rsidRDefault="00553FBD" w:rsidP="0057210D">
            <w:pPr>
              <w:jc w:val="center"/>
              <w:rPr>
                <w:sz w:val="26"/>
                <w:szCs w:val="26"/>
              </w:rPr>
            </w:pPr>
          </w:p>
          <w:p w:rsidR="00553FBD" w:rsidRDefault="00553FBD" w:rsidP="0057210D">
            <w:pPr>
              <w:jc w:val="center"/>
              <w:rPr>
                <w:sz w:val="26"/>
                <w:szCs w:val="26"/>
              </w:rPr>
            </w:pPr>
            <w:r>
              <w:rPr>
                <w:sz w:val="26"/>
                <w:szCs w:val="26"/>
              </w:rPr>
              <w:t>$86,340,593</w:t>
            </w:r>
          </w:p>
        </w:tc>
        <w:tc>
          <w:tcPr>
            <w:tcW w:w="2394" w:type="dxa"/>
          </w:tcPr>
          <w:p w:rsidR="00553FBD" w:rsidRDefault="00553FBD" w:rsidP="0057210D">
            <w:pPr>
              <w:jc w:val="center"/>
              <w:rPr>
                <w:sz w:val="26"/>
                <w:szCs w:val="26"/>
              </w:rPr>
            </w:pPr>
          </w:p>
          <w:p w:rsidR="00553FBD" w:rsidRDefault="00553FBD" w:rsidP="0057210D">
            <w:pPr>
              <w:jc w:val="center"/>
              <w:rPr>
                <w:sz w:val="26"/>
                <w:szCs w:val="26"/>
              </w:rPr>
            </w:pPr>
            <w:r>
              <w:rPr>
                <w:sz w:val="26"/>
                <w:szCs w:val="26"/>
              </w:rPr>
              <w:t>$79,985,575</w:t>
            </w:r>
          </w:p>
        </w:tc>
        <w:tc>
          <w:tcPr>
            <w:tcW w:w="2394" w:type="dxa"/>
          </w:tcPr>
          <w:p w:rsidR="00553FBD" w:rsidRDefault="00553FBD" w:rsidP="0057210D">
            <w:pPr>
              <w:jc w:val="center"/>
              <w:rPr>
                <w:sz w:val="26"/>
                <w:szCs w:val="26"/>
              </w:rPr>
            </w:pPr>
          </w:p>
          <w:p w:rsidR="00553FBD" w:rsidRDefault="00553FBD" w:rsidP="0057210D">
            <w:pPr>
              <w:jc w:val="center"/>
              <w:rPr>
                <w:sz w:val="26"/>
                <w:szCs w:val="26"/>
              </w:rPr>
            </w:pPr>
            <w:r>
              <w:rPr>
                <w:sz w:val="26"/>
                <w:szCs w:val="26"/>
              </w:rPr>
              <w:t>$22,948,545</w:t>
            </w:r>
          </w:p>
        </w:tc>
      </w:tr>
      <w:tr w:rsidR="00553FBD" w:rsidTr="0057210D">
        <w:tc>
          <w:tcPr>
            <w:tcW w:w="2394" w:type="dxa"/>
          </w:tcPr>
          <w:p w:rsidR="00553FBD" w:rsidRPr="00284D23" w:rsidRDefault="00553FBD" w:rsidP="0057210D">
            <w:pPr>
              <w:jc w:val="center"/>
              <w:rPr>
                <w:sz w:val="26"/>
                <w:szCs w:val="26"/>
              </w:rPr>
            </w:pPr>
            <w:r>
              <w:rPr>
                <w:sz w:val="26"/>
                <w:szCs w:val="26"/>
              </w:rPr>
              <w:t xml:space="preserve">Cost Claim per </w:t>
            </w:r>
            <w:r w:rsidR="000414C0">
              <w:rPr>
                <w:i/>
                <w:sz w:val="26"/>
                <w:szCs w:val="26"/>
              </w:rPr>
              <w:t>September 21, 2009</w:t>
            </w:r>
            <w:r w:rsidRPr="00732D89">
              <w:rPr>
                <w:i/>
                <w:sz w:val="26"/>
                <w:szCs w:val="26"/>
              </w:rPr>
              <w:t xml:space="preserve"> Plan</w:t>
            </w:r>
            <w:r>
              <w:rPr>
                <w:rStyle w:val="FootnoteReference"/>
                <w:i/>
                <w:sz w:val="26"/>
                <w:szCs w:val="26"/>
              </w:rPr>
              <w:footnoteReference w:id="30"/>
            </w:r>
          </w:p>
        </w:tc>
        <w:tc>
          <w:tcPr>
            <w:tcW w:w="2394" w:type="dxa"/>
          </w:tcPr>
          <w:p w:rsidR="00553FBD" w:rsidRPr="00ED6995" w:rsidRDefault="00553FBD" w:rsidP="0057210D">
            <w:pPr>
              <w:jc w:val="center"/>
              <w:rPr>
                <w:b/>
                <w:sz w:val="26"/>
                <w:szCs w:val="26"/>
              </w:rPr>
            </w:pPr>
          </w:p>
          <w:p w:rsidR="00553FBD" w:rsidRPr="00ED6995" w:rsidRDefault="00553FBD" w:rsidP="0057210D">
            <w:pPr>
              <w:jc w:val="center"/>
              <w:rPr>
                <w:b/>
                <w:sz w:val="26"/>
                <w:szCs w:val="26"/>
              </w:rPr>
            </w:pPr>
            <w:r w:rsidRPr="00ED6995">
              <w:rPr>
                <w:b/>
                <w:sz w:val="26"/>
                <w:szCs w:val="26"/>
              </w:rPr>
              <w:t>$83,095,457</w:t>
            </w:r>
          </w:p>
        </w:tc>
        <w:tc>
          <w:tcPr>
            <w:tcW w:w="2394" w:type="dxa"/>
          </w:tcPr>
          <w:p w:rsidR="00553FBD" w:rsidRPr="00ED6995" w:rsidRDefault="00553FBD" w:rsidP="0057210D">
            <w:pPr>
              <w:jc w:val="center"/>
              <w:rPr>
                <w:b/>
                <w:sz w:val="26"/>
                <w:szCs w:val="26"/>
              </w:rPr>
            </w:pPr>
          </w:p>
          <w:p w:rsidR="00553FBD" w:rsidRPr="00ED6995" w:rsidRDefault="00553FBD" w:rsidP="0057210D">
            <w:pPr>
              <w:jc w:val="center"/>
              <w:rPr>
                <w:b/>
                <w:sz w:val="26"/>
                <w:szCs w:val="26"/>
              </w:rPr>
            </w:pPr>
            <w:r w:rsidRPr="00ED6995">
              <w:rPr>
                <w:b/>
                <w:sz w:val="26"/>
                <w:szCs w:val="26"/>
              </w:rPr>
              <w:t>$74,620,602</w:t>
            </w:r>
          </w:p>
        </w:tc>
        <w:tc>
          <w:tcPr>
            <w:tcW w:w="2394" w:type="dxa"/>
          </w:tcPr>
          <w:p w:rsidR="00553FBD" w:rsidRPr="00ED6995" w:rsidRDefault="00553FBD" w:rsidP="0057210D">
            <w:pPr>
              <w:jc w:val="center"/>
              <w:rPr>
                <w:b/>
                <w:sz w:val="26"/>
                <w:szCs w:val="26"/>
              </w:rPr>
            </w:pPr>
          </w:p>
          <w:p w:rsidR="00553FBD" w:rsidRPr="00ED6995" w:rsidRDefault="00553FBD" w:rsidP="0057210D">
            <w:pPr>
              <w:jc w:val="center"/>
              <w:rPr>
                <w:b/>
                <w:sz w:val="26"/>
                <w:szCs w:val="26"/>
              </w:rPr>
            </w:pPr>
            <w:r w:rsidRPr="00ED6995">
              <w:rPr>
                <w:b/>
                <w:sz w:val="26"/>
                <w:szCs w:val="26"/>
              </w:rPr>
              <w:t>$24,994,734</w:t>
            </w:r>
          </w:p>
        </w:tc>
      </w:tr>
      <w:tr w:rsidR="00553FBD" w:rsidTr="0057210D">
        <w:tc>
          <w:tcPr>
            <w:tcW w:w="2394" w:type="dxa"/>
          </w:tcPr>
          <w:p w:rsidR="00553FBD" w:rsidRDefault="00553FBD" w:rsidP="0057210D">
            <w:pPr>
              <w:jc w:val="center"/>
              <w:rPr>
                <w:sz w:val="26"/>
                <w:szCs w:val="26"/>
              </w:rPr>
            </w:pPr>
            <w:r>
              <w:rPr>
                <w:sz w:val="26"/>
                <w:szCs w:val="26"/>
              </w:rPr>
              <w:t>Change in Cost</w:t>
            </w:r>
          </w:p>
        </w:tc>
        <w:tc>
          <w:tcPr>
            <w:tcW w:w="2394" w:type="dxa"/>
            <w:vAlign w:val="bottom"/>
          </w:tcPr>
          <w:p w:rsidR="00553FBD" w:rsidRDefault="00553FBD" w:rsidP="0057210D">
            <w:pPr>
              <w:jc w:val="center"/>
              <w:rPr>
                <w:sz w:val="26"/>
                <w:szCs w:val="26"/>
              </w:rPr>
            </w:pPr>
            <w:r>
              <w:rPr>
                <w:sz w:val="26"/>
                <w:szCs w:val="26"/>
              </w:rPr>
              <w:t>($3,245,136)</w:t>
            </w:r>
          </w:p>
        </w:tc>
        <w:tc>
          <w:tcPr>
            <w:tcW w:w="2394" w:type="dxa"/>
            <w:vAlign w:val="bottom"/>
          </w:tcPr>
          <w:p w:rsidR="00553FBD" w:rsidRDefault="00553FBD" w:rsidP="0057210D">
            <w:pPr>
              <w:jc w:val="center"/>
              <w:rPr>
                <w:sz w:val="26"/>
                <w:szCs w:val="26"/>
              </w:rPr>
            </w:pPr>
            <w:r>
              <w:rPr>
                <w:sz w:val="26"/>
                <w:szCs w:val="26"/>
              </w:rPr>
              <w:t>($5,364,9763)</w:t>
            </w:r>
          </w:p>
        </w:tc>
        <w:tc>
          <w:tcPr>
            <w:tcW w:w="2394" w:type="dxa"/>
            <w:vAlign w:val="bottom"/>
          </w:tcPr>
          <w:p w:rsidR="00553FBD" w:rsidRDefault="00553FBD" w:rsidP="0057210D">
            <w:pPr>
              <w:jc w:val="center"/>
              <w:rPr>
                <w:sz w:val="26"/>
                <w:szCs w:val="26"/>
              </w:rPr>
            </w:pPr>
            <w:r>
              <w:rPr>
                <w:sz w:val="26"/>
                <w:szCs w:val="26"/>
              </w:rPr>
              <w:t>$2,046,189</w:t>
            </w:r>
          </w:p>
        </w:tc>
      </w:tr>
    </w:tbl>
    <w:p w:rsidR="00023BD3" w:rsidRDefault="00023BD3" w:rsidP="00023BD3">
      <w:pPr>
        <w:spacing w:line="360" w:lineRule="auto"/>
        <w:ind w:firstLine="1440"/>
        <w:rPr>
          <w:sz w:val="26"/>
          <w:szCs w:val="26"/>
        </w:rPr>
      </w:pPr>
    </w:p>
    <w:p w:rsidR="00397BDF" w:rsidRDefault="00397BDF">
      <w:pPr>
        <w:spacing w:after="200" w:line="276" w:lineRule="auto"/>
        <w:rPr>
          <w:b/>
          <w:sz w:val="26"/>
          <w:szCs w:val="26"/>
        </w:rPr>
      </w:pPr>
      <w:r>
        <w:rPr>
          <w:b/>
          <w:sz w:val="26"/>
          <w:szCs w:val="26"/>
        </w:rPr>
        <w:br w:type="page"/>
      </w:r>
    </w:p>
    <w:p w:rsidR="00023BD3" w:rsidRPr="00AF130F" w:rsidRDefault="00023BD3" w:rsidP="00023BD3">
      <w:pPr>
        <w:spacing w:line="360" w:lineRule="auto"/>
        <w:rPr>
          <w:b/>
          <w:sz w:val="26"/>
          <w:szCs w:val="26"/>
        </w:rPr>
      </w:pPr>
      <w:r w:rsidRPr="00AF130F">
        <w:rPr>
          <w:b/>
          <w:sz w:val="26"/>
          <w:szCs w:val="26"/>
        </w:rPr>
        <w:lastRenderedPageBreak/>
        <w:t>Chart 2</w:t>
      </w:r>
      <w:r>
        <w:rPr>
          <w:b/>
          <w:sz w:val="26"/>
          <w:szCs w:val="26"/>
        </w:rPr>
        <w:t xml:space="preserve"> – Common Costs:</w:t>
      </w:r>
    </w:p>
    <w:tbl>
      <w:tblPr>
        <w:tblStyle w:val="TableGrid"/>
        <w:tblW w:w="0" w:type="auto"/>
        <w:tblLook w:val="04A0"/>
      </w:tblPr>
      <w:tblGrid>
        <w:gridCol w:w="1835"/>
        <w:gridCol w:w="1145"/>
        <w:gridCol w:w="1465"/>
        <w:gridCol w:w="1191"/>
        <w:gridCol w:w="1516"/>
        <w:gridCol w:w="1128"/>
        <w:gridCol w:w="1296"/>
      </w:tblGrid>
      <w:tr w:rsidR="00023BD3" w:rsidTr="008D75E8">
        <w:tc>
          <w:tcPr>
            <w:tcW w:w="1835" w:type="dxa"/>
          </w:tcPr>
          <w:p w:rsidR="00023BD3" w:rsidRPr="00EB6778" w:rsidRDefault="00621FF3" w:rsidP="003D47AD">
            <w:pPr>
              <w:spacing w:line="360" w:lineRule="auto"/>
              <w:jc w:val="center"/>
              <w:rPr>
                <w:b/>
                <w:sz w:val="26"/>
                <w:szCs w:val="26"/>
                <w:u w:val="single"/>
              </w:rPr>
            </w:pPr>
            <w:r>
              <w:rPr>
                <w:b/>
                <w:sz w:val="26"/>
                <w:szCs w:val="26"/>
                <w:u w:val="single"/>
              </w:rPr>
              <w:t>Table 6B</w:t>
            </w:r>
            <w:r w:rsidR="00023BD3">
              <w:rPr>
                <w:b/>
                <w:sz w:val="26"/>
                <w:szCs w:val="26"/>
                <w:u w:val="single"/>
              </w:rPr>
              <w:t>:</w:t>
            </w:r>
          </w:p>
        </w:tc>
        <w:tc>
          <w:tcPr>
            <w:tcW w:w="2610" w:type="dxa"/>
            <w:gridSpan w:val="2"/>
          </w:tcPr>
          <w:p w:rsidR="00023BD3" w:rsidRPr="00732D89" w:rsidRDefault="00023BD3" w:rsidP="003D47AD">
            <w:pPr>
              <w:spacing w:line="360" w:lineRule="auto"/>
              <w:jc w:val="center"/>
              <w:rPr>
                <w:b/>
                <w:sz w:val="26"/>
                <w:szCs w:val="26"/>
                <w:u w:val="single"/>
              </w:rPr>
            </w:pPr>
            <w:r w:rsidRPr="00732D89">
              <w:rPr>
                <w:b/>
                <w:sz w:val="26"/>
                <w:szCs w:val="26"/>
                <w:u w:val="single"/>
              </w:rPr>
              <w:t>Met Ed</w:t>
            </w:r>
          </w:p>
        </w:tc>
        <w:tc>
          <w:tcPr>
            <w:tcW w:w="2707" w:type="dxa"/>
            <w:gridSpan w:val="2"/>
          </w:tcPr>
          <w:p w:rsidR="00023BD3" w:rsidRPr="00732D89" w:rsidRDefault="00023BD3" w:rsidP="003D47AD">
            <w:pPr>
              <w:spacing w:line="360" w:lineRule="auto"/>
              <w:jc w:val="center"/>
              <w:rPr>
                <w:b/>
                <w:sz w:val="26"/>
                <w:szCs w:val="26"/>
                <w:u w:val="single"/>
              </w:rPr>
            </w:pPr>
            <w:r w:rsidRPr="00732D89">
              <w:rPr>
                <w:b/>
                <w:sz w:val="26"/>
                <w:szCs w:val="26"/>
                <w:u w:val="single"/>
              </w:rPr>
              <w:t>Penelec</w:t>
            </w:r>
          </w:p>
        </w:tc>
        <w:tc>
          <w:tcPr>
            <w:tcW w:w="2424" w:type="dxa"/>
            <w:gridSpan w:val="2"/>
          </w:tcPr>
          <w:p w:rsidR="00023BD3" w:rsidRPr="00732D89" w:rsidRDefault="00023BD3" w:rsidP="003D47AD">
            <w:pPr>
              <w:spacing w:line="360" w:lineRule="auto"/>
              <w:jc w:val="center"/>
              <w:rPr>
                <w:b/>
                <w:sz w:val="26"/>
                <w:szCs w:val="26"/>
                <w:u w:val="single"/>
              </w:rPr>
            </w:pPr>
            <w:r w:rsidRPr="00732D89">
              <w:rPr>
                <w:b/>
                <w:sz w:val="26"/>
                <w:szCs w:val="26"/>
                <w:u w:val="single"/>
              </w:rPr>
              <w:t>Penn Power</w:t>
            </w:r>
          </w:p>
        </w:tc>
      </w:tr>
      <w:tr w:rsidR="00023BD3" w:rsidTr="008D75E8">
        <w:tc>
          <w:tcPr>
            <w:tcW w:w="1835" w:type="dxa"/>
          </w:tcPr>
          <w:p w:rsidR="00023BD3" w:rsidRDefault="00023BD3" w:rsidP="003D47AD">
            <w:pPr>
              <w:jc w:val="center"/>
              <w:rPr>
                <w:sz w:val="26"/>
                <w:szCs w:val="26"/>
              </w:rPr>
            </w:pPr>
            <w:r w:rsidRPr="00EB6778">
              <w:rPr>
                <w:b/>
                <w:sz w:val="26"/>
                <w:szCs w:val="26"/>
                <w:u w:val="single"/>
              </w:rPr>
              <w:t>Common Costs</w:t>
            </w:r>
          </w:p>
        </w:tc>
        <w:tc>
          <w:tcPr>
            <w:tcW w:w="1145" w:type="dxa"/>
          </w:tcPr>
          <w:p w:rsidR="00023BD3" w:rsidRDefault="00023BD3" w:rsidP="003D47AD">
            <w:pPr>
              <w:spacing w:line="360" w:lineRule="auto"/>
              <w:jc w:val="center"/>
              <w:rPr>
                <w:sz w:val="26"/>
                <w:szCs w:val="26"/>
              </w:rPr>
            </w:pPr>
            <w:r>
              <w:rPr>
                <w:sz w:val="26"/>
                <w:szCs w:val="26"/>
              </w:rPr>
              <w:t>Original</w:t>
            </w:r>
          </w:p>
        </w:tc>
        <w:tc>
          <w:tcPr>
            <w:tcW w:w="1465" w:type="dxa"/>
          </w:tcPr>
          <w:p w:rsidR="00023BD3" w:rsidRDefault="00023BD3" w:rsidP="003D47AD">
            <w:pPr>
              <w:spacing w:line="360" w:lineRule="auto"/>
              <w:jc w:val="center"/>
              <w:rPr>
                <w:sz w:val="26"/>
                <w:szCs w:val="26"/>
              </w:rPr>
            </w:pPr>
            <w:r>
              <w:rPr>
                <w:sz w:val="26"/>
                <w:szCs w:val="26"/>
              </w:rPr>
              <w:t>Revised</w:t>
            </w:r>
          </w:p>
        </w:tc>
        <w:tc>
          <w:tcPr>
            <w:tcW w:w="1191" w:type="dxa"/>
          </w:tcPr>
          <w:p w:rsidR="00023BD3" w:rsidRDefault="00023BD3" w:rsidP="003D47AD">
            <w:pPr>
              <w:spacing w:line="360" w:lineRule="auto"/>
              <w:jc w:val="center"/>
              <w:rPr>
                <w:sz w:val="26"/>
                <w:szCs w:val="26"/>
              </w:rPr>
            </w:pPr>
            <w:r>
              <w:rPr>
                <w:sz w:val="26"/>
                <w:szCs w:val="26"/>
              </w:rPr>
              <w:t>Original</w:t>
            </w:r>
          </w:p>
        </w:tc>
        <w:tc>
          <w:tcPr>
            <w:tcW w:w="1516" w:type="dxa"/>
          </w:tcPr>
          <w:p w:rsidR="00023BD3" w:rsidRDefault="00023BD3" w:rsidP="003D47AD">
            <w:pPr>
              <w:spacing w:line="360" w:lineRule="auto"/>
              <w:jc w:val="center"/>
              <w:rPr>
                <w:sz w:val="26"/>
                <w:szCs w:val="26"/>
              </w:rPr>
            </w:pPr>
            <w:r>
              <w:rPr>
                <w:sz w:val="26"/>
                <w:szCs w:val="26"/>
              </w:rPr>
              <w:t>Revised</w:t>
            </w:r>
          </w:p>
        </w:tc>
        <w:tc>
          <w:tcPr>
            <w:tcW w:w="1128" w:type="dxa"/>
          </w:tcPr>
          <w:p w:rsidR="00023BD3" w:rsidRDefault="00023BD3" w:rsidP="003D47AD">
            <w:pPr>
              <w:spacing w:line="360" w:lineRule="auto"/>
              <w:jc w:val="center"/>
              <w:rPr>
                <w:sz w:val="26"/>
                <w:szCs w:val="26"/>
              </w:rPr>
            </w:pPr>
            <w:r>
              <w:rPr>
                <w:sz w:val="26"/>
                <w:szCs w:val="26"/>
              </w:rPr>
              <w:t>Original</w:t>
            </w:r>
          </w:p>
        </w:tc>
        <w:tc>
          <w:tcPr>
            <w:tcW w:w="1296" w:type="dxa"/>
          </w:tcPr>
          <w:p w:rsidR="00023BD3" w:rsidRDefault="00023BD3" w:rsidP="003D47AD">
            <w:pPr>
              <w:spacing w:line="360" w:lineRule="auto"/>
              <w:jc w:val="center"/>
              <w:rPr>
                <w:sz w:val="26"/>
                <w:szCs w:val="26"/>
              </w:rPr>
            </w:pPr>
            <w:r>
              <w:rPr>
                <w:sz w:val="26"/>
                <w:szCs w:val="26"/>
              </w:rPr>
              <w:t>Revised</w:t>
            </w:r>
          </w:p>
        </w:tc>
      </w:tr>
      <w:tr w:rsidR="008D75E8" w:rsidTr="008D75E8">
        <w:tc>
          <w:tcPr>
            <w:tcW w:w="1835" w:type="dxa"/>
          </w:tcPr>
          <w:p w:rsidR="008D75E8" w:rsidRDefault="008D75E8" w:rsidP="003D47AD">
            <w:pPr>
              <w:jc w:val="center"/>
              <w:rPr>
                <w:sz w:val="26"/>
                <w:szCs w:val="26"/>
              </w:rPr>
            </w:pPr>
            <w:r>
              <w:rPr>
                <w:sz w:val="26"/>
                <w:szCs w:val="26"/>
              </w:rPr>
              <w:t xml:space="preserve">Residential </w:t>
            </w:r>
          </w:p>
          <w:p w:rsidR="008D75E8" w:rsidRPr="00EB6778" w:rsidRDefault="008D75E8" w:rsidP="003D47AD">
            <w:pPr>
              <w:spacing w:line="360" w:lineRule="auto"/>
              <w:jc w:val="center"/>
              <w:rPr>
                <w:b/>
                <w:sz w:val="26"/>
                <w:szCs w:val="26"/>
                <w:u w:val="single"/>
              </w:rPr>
            </w:pPr>
            <w:r w:rsidRPr="00EB6778">
              <w:rPr>
                <w:sz w:val="16"/>
                <w:szCs w:val="16"/>
              </w:rPr>
              <w:t>(Including Low-Income)</w:t>
            </w:r>
          </w:p>
        </w:tc>
        <w:tc>
          <w:tcPr>
            <w:tcW w:w="1145" w:type="dxa"/>
            <w:vAlign w:val="bottom"/>
          </w:tcPr>
          <w:p w:rsidR="008D75E8" w:rsidRPr="004C51B9" w:rsidRDefault="008D75E8" w:rsidP="003D47AD">
            <w:pPr>
              <w:spacing w:line="360" w:lineRule="auto"/>
              <w:jc w:val="center"/>
              <w:rPr>
                <w:sz w:val="24"/>
                <w:szCs w:val="24"/>
              </w:rPr>
            </w:pPr>
            <w:r w:rsidRPr="004C51B9">
              <w:rPr>
                <w:sz w:val="24"/>
                <w:szCs w:val="24"/>
              </w:rPr>
              <w:t>$480,873</w:t>
            </w:r>
          </w:p>
        </w:tc>
        <w:tc>
          <w:tcPr>
            <w:tcW w:w="1465" w:type="dxa"/>
            <w:vAlign w:val="bottom"/>
          </w:tcPr>
          <w:p w:rsidR="008D75E8" w:rsidRPr="004C51B9" w:rsidRDefault="008D75E8" w:rsidP="003D47AD">
            <w:pPr>
              <w:spacing w:line="360" w:lineRule="auto"/>
              <w:jc w:val="center"/>
              <w:rPr>
                <w:sz w:val="24"/>
                <w:szCs w:val="24"/>
              </w:rPr>
            </w:pPr>
            <w:r w:rsidRPr="004C51B9">
              <w:rPr>
                <w:sz w:val="24"/>
                <w:szCs w:val="24"/>
              </w:rPr>
              <w:t>$11,646,384</w:t>
            </w:r>
          </w:p>
        </w:tc>
        <w:tc>
          <w:tcPr>
            <w:tcW w:w="1191" w:type="dxa"/>
            <w:vAlign w:val="bottom"/>
          </w:tcPr>
          <w:p w:rsidR="008D75E8" w:rsidRDefault="008D75E8" w:rsidP="003D47AD">
            <w:pPr>
              <w:spacing w:line="360" w:lineRule="auto"/>
              <w:jc w:val="center"/>
              <w:rPr>
                <w:sz w:val="26"/>
                <w:szCs w:val="26"/>
              </w:rPr>
            </w:pPr>
            <w:r>
              <w:rPr>
                <w:sz w:val="26"/>
                <w:szCs w:val="26"/>
              </w:rPr>
              <w:t>$387,037</w:t>
            </w:r>
          </w:p>
        </w:tc>
        <w:tc>
          <w:tcPr>
            <w:tcW w:w="1516" w:type="dxa"/>
            <w:vAlign w:val="bottom"/>
          </w:tcPr>
          <w:p w:rsidR="008D75E8" w:rsidRPr="008D75E8" w:rsidRDefault="008D75E8" w:rsidP="00FD03CF">
            <w:pPr>
              <w:spacing w:line="360" w:lineRule="auto"/>
              <w:jc w:val="center"/>
              <w:rPr>
                <w:sz w:val="26"/>
                <w:szCs w:val="26"/>
              </w:rPr>
            </w:pPr>
            <w:r w:rsidRPr="008D75E8">
              <w:rPr>
                <w:sz w:val="26"/>
                <w:szCs w:val="26"/>
              </w:rPr>
              <w:t>$11,075,136</w:t>
            </w:r>
          </w:p>
        </w:tc>
        <w:tc>
          <w:tcPr>
            <w:tcW w:w="1128" w:type="dxa"/>
            <w:vAlign w:val="bottom"/>
          </w:tcPr>
          <w:p w:rsidR="008D75E8" w:rsidRPr="002123DA" w:rsidRDefault="008D75E8" w:rsidP="003D47AD">
            <w:pPr>
              <w:spacing w:line="360" w:lineRule="auto"/>
              <w:jc w:val="center"/>
              <w:rPr>
                <w:sz w:val="24"/>
                <w:szCs w:val="24"/>
              </w:rPr>
            </w:pPr>
            <w:r>
              <w:rPr>
                <w:sz w:val="24"/>
                <w:szCs w:val="24"/>
              </w:rPr>
              <w:t>$56,738</w:t>
            </w:r>
          </w:p>
        </w:tc>
        <w:tc>
          <w:tcPr>
            <w:tcW w:w="1296" w:type="dxa"/>
            <w:vAlign w:val="bottom"/>
          </w:tcPr>
          <w:p w:rsidR="008D75E8" w:rsidRPr="002123DA" w:rsidRDefault="008D75E8" w:rsidP="003D47AD">
            <w:pPr>
              <w:spacing w:line="360" w:lineRule="auto"/>
              <w:jc w:val="center"/>
              <w:rPr>
                <w:sz w:val="24"/>
                <w:szCs w:val="24"/>
              </w:rPr>
            </w:pPr>
            <w:r w:rsidRPr="002123DA">
              <w:rPr>
                <w:sz w:val="24"/>
                <w:szCs w:val="24"/>
              </w:rPr>
              <w:t>$1,199,295</w:t>
            </w:r>
          </w:p>
        </w:tc>
      </w:tr>
      <w:tr w:rsidR="008D75E8" w:rsidTr="008D75E8">
        <w:tc>
          <w:tcPr>
            <w:tcW w:w="1835" w:type="dxa"/>
          </w:tcPr>
          <w:p w:rsidR="008D75E8" w:rsidRPr="00EB6778" w:rsidRDefault="008D75E8" w:rsidP="003D47AD">
            <w:pPr>
              <w:jc w:val="center"/>
              <w:rPr>
                <w:sz w:val="16"/>
                <w:szCs w:val="16"/>
              </w:rPr>
            </w:pPr>
            <w:r>
              <w:rPr>
                <w:sz w:val="26"/>
                <w:szCs w:val="26"/>
              </w:rPr>
              <w:t>C&amp;I Small</w:t>
            </w:r>
          </w:p>
        </w:tc>
        <w:tc>
          <w:tcPr>
            <w:tcW w:w="1145" w:type="dxa"/>
            <w:vAlign w:val="center"/>
          </w:tcPr>
          <w:p w:rsidR="008D75E8" w:rsidRPr="004C51B9" w:rsidRDefault="008D75E8" w:rsidP="003D47AD">
            <w:pPr>
              <w:jc w:val="center"/>
              <w:rPr>
                <w:sz w:val="24"/>
                <w:szCs w:val="24"/>
              </w:rPr>
            </w:pPr>
            <w:r w:rsidRPr="004C51B9">
              <w:rPr>
                <w:sz w:val="24"/>
                <w:szCs w:val="24"/>
              </w:rPr>
              <w:t>$87,422</w:t>
            </w:r>
          </w:p>
        </w:tc>
        <w:tc>
          <w:tcPr>
            <w:tcW w:w="1465" w:type="dxa"/>
            <w:vAlign w:val="center"/>
          </w:tcPr>
          <w:p w:rsidR="008D75E8" w:rsidRPr="004C51B9" w:rsidRDefault="008D75E8" w:rsidP="003D47AD">
            <w:pPr>
              <w:jc w:val="center"/>
              <w:rPr>
                <w:sz w:val="24"/>
                <w:szCs w:val="24"/>
              </w:rPr>
            </w:pPr>
            <w:r w:rsidRPr="004C51B9">
              <w:rPr>
                <w:sz w:val="24"/>
                <w:szCs w:val="24"/>
              </w:rPr>
              <w:t>$3,532,975</w:t>
            </w:r>
          </w:p>
        </w:tc>
        <w:tc>
          <w:tcPr>
            <w:tcW w:w="1191" w:type="dxa"/>
            <w:vAlign w:val="center"/>
          </w:tcPr>
          <w:p w:rsidR="008D75E8" w:rsidRDefault="008D75E8" w:rsidP="003D47AD">
            <w:pPr>
              <w:jc w:val="center"/>
              <w:rPr>
                <w:sz w:val="26"/>
                <w:szCs w:val="26"/>
              </w:rPr>
            </w:pPr>
            <w:r>
              <w:rPr>
                <w:sz w:val="26"/>
                <w:szCs w:val="26"/>
              </w:rPr>
              <w:t>$76,131</w:t>
            </w:r>
          </w:p>
        </w:tc>
        <w:tc>
          <w:tcPr>
            <w:tcW w:w="1516" w:type="dxa"/>
            <w:vAlign w:val="center"/>
          </w:tcPr>
          <w:p w:rsidR="008D75E8" w:rsidRPr="008D75E8" w:rsidRDefault="008D75E8" w:rsidP="00FD03CF">
            <w:pPr>
              <w:jc w:val="center"/>
              <w:rPr>
                <w:sz w:val="26"/>
                <w:szCs w:val="26"/>
              </w:rPr>
            </w:pPr>
            <w:r w:rsidRPr="008D75E8">
              <w:rPr>
                <w:sz w:val="26"/>
                <w:szCs w:val="26"/>
              </w:rPr>
              <w:t>$3,911,066</w:t>
            </w:r>
          </w:p>
        </w:tc>
        <w:tc>
          <w:tcPr>
            <w:tcW w:w="1128" w:type="dxa"/>
            <w:vAlign w:val="center"/>
          </w:tcPr>
          <w:p w:rsidR="008D75E8" w:rsidRPr="002123DA" w:rsidRDefault="008D75E8" w:rsidP="003D47AD">
            <w:pPr>
              <w:jc w:val="center"/>
              <w:rPr>
                <w:sz w:val="24"/>
                <w:szCs w:val="24"/>
              </w:rPr>
            </w:pPr>
            <w:r>
              <w:rPr>
                <w:sz w:val="24"/>
                <w:szCs w:val="24"/>
              </w:rPr>
              <w:t>$12,945</w:t>
            </w:r>
          </w:p>
        </w:tc>
        <w:tc>
          <w:tcPr>
            <w:tcW w:w="1296" w:type="dxa"/>
            <w:vAlign w:val="center"/>
          </w:tcPr>
          <w:p w:rsidR="008D75E8" w:rsidRPr="002123DA" w:rsidRDefault="008D75E8" w:rsidP="003D47AD">
            <w:pPr>
              <w:jc w:val="center"/>
              <w:rPr>
                <w:sz w:val="24"/>
                <w:szCs w:val="24"/>
              </w:rPr>
            </w:pPr>
            <w:r w:rsidRPr="002123DA">
              <w:rPr>
                <w:sz w:val="24"/>
                <w:szCs w:val="24"/>
              </w:rPr>
              <w:t>$436,273</w:t>
            </w:r>
          </w:p>
        </w:tc>
      </w:tr>
      <w:tr w:rsidR="008D75E8" w:rsidTr="008D75E8">
        <w:tc>
          <w:tcPr>
            <w:tcW w:w="1835" w:type="dxa"/>
            <w:vAlign w:val="bottom"/>
          </w:tcPr>
          <w:p w:rsidR="008D75E8" w:rsidRDefault="008D75E8" w:rsidP="003D47AD">
            <w:pPr>
              <w:jc w:val="center"/>
              <w:rPr>
                <w:sz w:val="26"/>
                <w:szCs w:val="26"/>
              </w:rPr>
            </w:pPr>
            <w:r>
              <w:rPr>
                <w:sz w:val="26"/>
                <w:szCs w:val="26"/>
              </w:rPr>
              <w:t>C&amp;I Large</w:t>
            </w:r>
          </w:p>
        </w:tc>
        <w:tc>
          <w:tcPr>
            <w:tcW w:w="1145" w:type="dxa"/>
            <w:vAlign w:val="bottom"/>
          </w:tcPr>
          <w:p w:rsidR="008D75E8" w:rsidRPr="004C51B9" w:rsidRDefault="008D75E8" w:rsidP="003D47AD">
            <w:pPr>
              <w:jc w:val="center"/>
              <w:rPr>
                <w:sz w:val="24"/>
                <w:szCs w:val="24"/>
              </w:rPr>
            </w:pPr>
            <w:r w:rsidRPr="004C51B9">
              <w:rPr>
                <w:sz w:val="24"/>
                <w:szCs w:val="24"/>
              </w:rPr>
              <w:t>$41,185</w:t>
            </w:r>
          </w:p>
        </w:tc>
        <w:tc>
          <w:tcPr>
            <w:tcW w:w="1465" w:type="dxa"/>
            <w:vAlign w:val="bottom"/>
          </w:tcPr>
          <w:p w:rsidR="008D75E8" w:rsidRPr="004C51B9" w:rsidRDefault="008D75E8" w:rsidP="003D47AD">
            <w:pPr>
              <w:jc w:val="center"/>
              <w:rPr>
                <w:sz w:val="24"/>
                <w:szCs w:val="24"/>
              </w:rPr>
            </w:pPr>
            <w:r w:rsidRPr="004C51B9">
              <w:rPr>
                <w:sz w:val="24"/>
                <w:szCs w:val="24"/>
              </w:rPr>
              <w:t>$1,192,761</w:t>
            </w:r>
          </w:p>
        </w:tc>
        <w:tc>
          <w:tcPr>
            <w:tcW w:w="1191" w:type="dxa"/>
            <w:vAlign w:val="bottom"/>
          </w:tcPr>
          <w:p w:rsidR="008D75E8" w:rsidRDefault="008D75E8" w:rsidP="003D47AD">
            <w:pPr>
              <w:spacing w:line="360" w:lineRule="auto"/>
              <w:jc w:val="center"/>
              <w:rPr>
                <w:sz w:val="26"/>
                <w:szCs w:val="26"/>
              </w:rPr>
            </w:pPr>
            <w:r>
              <w:rPr>
                <w:sz w:val="26"/>
                <w:szCs w:val="26"/>
              </w:rPr>
              <w:t>$41,192</w:t>
            </w:r>
          </w:p>
        </w:tc>
        <w:tc>
          <w:tcPr>
            <w:tcW w:w="1516" w:type="dxa"/>
            <w:vAlign w:val="bottom"/>
          </w:tcPr>
          <w:p w:rsidR="008D75E8" w:rsidRPr="008D75E8" w:rsidRDefault="008D75E8" w:rsidP="00FD03CF">
            <w:pPr>
              <w:spacing w:line="360" w:lineRule="auto"/>
              <w:jc w:val="center"/>
              <w:rPr>
                <w:sz w:val="26"/>
                <w:szCs w:val="26"/>
              </w:rPr>
            </w:pPr>
            <w:r>
              <w:rPr>
                <w:sz w:val="26"/>
                <w:szCs w:val="26"/>
              </w:rPr>
              <w:t>$2,292,</w:t>
            </w:r>
            <w:r w:rsidRPr="008D75E8">
              <w:rPr>
                <w:sz w:val="26"/>
                <w:szCs w:val="26"/>
              </w:rPr>
              <w:t>163</w:t>
            </w:r>
          </w:p>
        </w:tc>
        <w:tc>
          <w:tcPr>
            <w:tcW w:w="1128" w:type="dxa"/>
            <w:vAlign w:val="bottom"/>
          </w:tcPr>
          <w:p w:rsidR="008D75E8" w:rsidRPr="002123DA" w:rsidRDefault="008D75E8" w:rsidP="003D47AD">
            <w:pPr>
              <w:spacing w:line="360" w:lineRule="auto"/>
              <w:jc w:val="center"/>
              <w:rPr>
                <w:sz w:val="24"/>
                <w:szCs w:val="24"/>
              </w:rPr>
            </w:pPr>
            <w:r>
              <w:rPr>
                <w:sz w:val="24"/>
                <w:szCs w:val="24"/>
              </w:rPr>
              <w:t>$16,477</w:t>
            </w:r>
          </w:p>
        </w:tc>
        <w:tc>
          <w:tcPr>
            <w:tcW w:w="1296" w:type="dxa"/>
            <w:vAlign w:val="bottom"/>
          </w:tcPr>
          <w:p w:rsidR="008D75E8" w:rsidRPr="002123DA" w:rsidRDefault="008D75E8" w:rsidP="003D47AD">
            <w:pPr>
              <w:spacing w:line="360" w:lineRule="auto"/>
              <w:jc w:val="center"/>
              <w:rPr>
                <w:sz w:val="24"/>
                <w:szCs w:val="24"/>
              </w:rPr>
            </w:pPr>
            <w:r w:rsidRPr="002123DA">
              <w:rPr>
                <w:sz w:val="24"/>
                <w:szCs w:val="24"/>
              </w:rPr>
              <w:t>$658,898</w:t>
            </w:r>
          </w:p>
        </w:tc>
      </w:tr>
      <w:tr w:rsidR="008D75E8" w:rsidTr="008D75E8">
        <w:tc>
          <w:tcPr>
            <w:tcW w:w="1835" w:type="dxa"/>
          </w:tcPr>
          <w:p w:rsidR="008D75E8" w:rsidRPr="009E5F46" w:rsidRDefault="008D75E8" w:rsidP="003D47AD">
            <w:pPr>
              <w:jc w:val="center"/>
              <w:rPr>
                <w:sz w:val="26"/>
                <w:szCs w:val="26"/>
              </w:rPr>
            </w:pPr>
            <w:r>
              <w:rPr>
                <w:sz w:val="26"/>
                <w:szCs w:val="26"/>
              </w:rPr>
              <w:t>Government/ Non-Profit</w:t>
            </w:r>
          </w:p>
        </w:tc>
        <w:tc>
          <w:tcPr>
            <w:tcW w:w="7741" w:type="dxa"/>
            <w:gridSpan w:val="6"/>
            <w:vAlign w:val="center"/>
          </w:tcPr>
          <w:p w:rsidR="008D75E8" w:rsidRPr="004621C3" w:rsidRDefault="008D75E8" w:rsidP="003D47AD">
            <w:pPr>
              <w:jc w:val="center"/>
              <w:rPr>
                <w:u w:val="single"/>
              </w:rPr>
            </w:pPr>
            <w:r w:rsidRPr="004621C3">
              <w:rPr>
                <w:u w:val="single"/>
              </w:rPr>
              <w:t>Governmental is served as part of C&amp;I Small and C&amp;I Large rate classes</w:t>
            </w:r>
          </w:p>
        </w:tc>
      </w:tr>
      <w:tr w:rsidR="008D75E8" w:rsidTr="008D75E8">
        <w:tc>
          <w:tcPr>
            <w:tcW w:w="1835" w:type="dxa"/>
          </w:tcPr>
          <w:p w:rsidR="008D75E8" w:rsidRPr="00EB6778" w:rsidRDefault="008D75E8" w:rsidP="003D47AD">
            <w:pPr>
              <w:jc w:val="center"/>
              <w:rPr>
                <w:b/>
                <w:sz w:val="26"/>
                <w:szCs w:val="26"/>
              </w:rPr>
            </w:pPr>
          </w:p>
        </w:tc>
        <w:tc>
          <w:tcPr>
            <w:tcW w:w="1145" w:type="dxa"/>
            <w:vAlign w:val="bottom"/>
          </w:tcPr>
          <w:p w:rsidR="008D75E8" w:rsidRPr="004C51B9" w:rsidRDefault="008D75E8" w:rsidP="003D47AD">
            <w:pPr>
              <w:jc w:val="center"/>
            </w:pPr>
          </w:p>
        </w:tc>
        <w:tc>
          <w:tcPr>
            <w:tcW w:w="1465" w:type="dxa"/>
            <w:vAlign w:val="bottom"/>
          </w:tcPr>
          <w:p w:rsidR="008D75E8" w:rsidRPr="004C51B9" w:rsidRDefault="008D75E8" w:rsidP="003D47AD">
            <w:pPr>
              <w:jc w:val="center"/>
            </w:pPr>
          </w:p>
        </w:tc>
        <w:tc>
          <w:tcPr>
            <w:tcW w:w="1191" w:type="dxa"/>
            <w:vAlign w:val="bottom"/>
          </w:tcPr>
          <w:p w:rsidR="008D75E8" w:rsidRDefault="008D75E8" w:rsidP="003D47AD">
            <w:pPr>
              <w:jc w:val="center"/>
              <w:rPr>
                <w:sz w:val="26"/>
                <w:szCs w:val="26"/>
              </w:rPr>
            </w:pPr>
          </w:p>
        </w:tc>
        <w:tc>
          <w:tcPr>
            <w:tcW w:w="1516" w:type="dxa"/>
            <w:vAlign w:val="bottom"/>
          </w:tcPr>
          <w:p w:rsidR="008D75E8" w:rsidRDefault="008D75E8" w:rsidP="003D47AD">
            <w:pPr>
              <w:jc w:val="center"/>
              <w:rPr>
                <w:sz w:val="26"/>
                <w:szCs w:val="26"/>
              </w:rPr>
            </w:pPr>
          </w:p>
        </w:tc>
        <w:tc>
          <w:tcPr>
            <w:tcW w:w="1128" w:type="dxa"/>
            <w:vAlign w:val="bottom"/>
          </w:tcPr>
          <w:p w:rsidR="008D75E8" w:rsidRDefault="008D75E8" w:rsidP="003D47AD">
            <w:pPr>
              <w:jc w:val="center"/>
            </w:pPr>
          </w:p>
        </w:tc>
        <w:tc>
          <w:tcPr>
            <w:tcW w:w="1296" w:type="dxa"/>
            <w:vAlign w:val="bottom"/>
          </w:tcPr>
          <w:p w:rsidR="008D75E8" w:rsidRPr="002123DA" w:rsidRDefault="008D75E8" w:rsidP="003D47AD">
            <w:pPr>
              <w:jc w:val="center"/>
            </w:pPr>
          </w:p>
        </w:tc>
      </w:tr>
      <w:tr w:rsidR="008D75E8" w:rsidTr="008D75E8">
        <w:tc>
          <w:tcPr>
            <w:tcW w:w="1835" w:type="dxa"/>
          </w:tcPr>
          <w:p w:rsidR="008D75E8" w:rsidRPr="00EB6778" w:rsidRDefault="008D75E8" w:rsidP="003D47AD">
            <w:pPr>
              <w:jc w:val="center"/>
              <w:rPr>
                <w:b/>
                <w:sz w:val="26"/>
                <w:szCs w:val="26"/>
              </w:rPr>
            </w:pPr>
            <w:r w:rsidRPr="00EB6778">
              <w:rPr>
                <w:b/>
                <w:sz w:val="26"/>
                <w:szCs w:val="26"/>
              </w:rPr>
              <w:t>Totals</w:t>
            </w:r>
          </w:p>
        </w:tc>
        <w:tc>
          <w:tcPr>
            <w:tcW w:w="1145" w:type="dxa"/>
            <w:vAlign w:val="bottom"/>
          </w:tcPr>
          <w:p w:rsidR="008D75E8" w:rsidRPr="004C51B9" w:rsidRDefault="008D75E8" w:rsidP="003D47AD">
            <w:pPr>
              <w:jc w:val="center"/>
              <w:rPr>
                <w:sz w:val="24"/>
                <w:szCs w:val="24"/>
              </w:rPr>
            </w:pPr>
            <w:r w:rsidRPr="004C51B9">
              <w:rPr>
                <w:sz w:val="24"/>
                <w:szCs w:val="24"/>
              </w:rPr>
              <w:t>$609,480</w:t>
            </w:r>
          </w:p>
        </w:tc>
        <w:tc>
          <w:tcPr>
            <w:tcW w:w="1465" w:type="dxa"/>
            <w:vAlign w:val="bottom"/>
          </w:tcPr>
          <w:p w:rsidR="008D75E8" w:rsidRPr="004C51B9" w:rsidRDefault="008D75E8" w:rsidP="003D47AD">
            <w:pPr>
              <w:jc w:val="center"/>
              <w:rPr>
                <w:sz w:val="24"/>
                <w:szCs w:val="24"/>
              </w:rPr>
            </w:pPr>
            <w:r w:rsidRPr="004C51B9">
              <w:rPr>
                <w:sz w:val="24"/>
                <w:szCs w:val="24"/>
              </w:rPr>
              <w:t>$16,372,121</w:t>
            </w:r>
          </w:p>
        </w:tc>
        <w:tc>
          <w:tcPr>
            <w:tcW w:w="1191" w:type="dxa"/>
            <w:vAlign w:val="bottom"/>
          </w:tcPr>
          <w:p w:rsidR="008D75E8" w:rsidRDefault="008D75E8" w:rsidP="003D47AD">
            <w:pPr>
              <w:jc w:val="center"/>
              <w:rPr>
                <w:sz w:val="26"/>
                <w:szCs w:val="26"/>
              </w:rPr>
            </w:pPr>
            <w:r>
              <w:rPr>
                <w:sz w:val="26"/>
                <w:szCs w:val="26"/>
              </w:rPr>
              <w:t>$504,360</w:t>
            </w:r>
          </w:p>
        </w:tc>
        <w:tc>
          <w:tcPr>
            <w:tcW w:w="1516" w:type="dxa"/>
            <w:vAlign w:val="bottom"/>
          </w:tcPr>
          <w:p w:rsidR="008D75E8" w:rsidRPr="008D75E8" w:rsidRDefault="008D75E8" w:rsidP="00FD03CF">
            <w:pPr>
              <w:jc w:val="center"/>
              <w:rPr>
                <w:sz w:val="26"/>
                <w:szCs w:val="26"/>
              </w:rPr>
            </w:pPr>
            <w:r w:rsidRPr="008D75E8">
              <w:rPr>
                <w:sz w:val="26"/>
                <w:szCs w:val="26"/>
              </w:rPr>
              <w:t>$17,278,366</w:t>
            </w:r>
          </w:p>
        </w:tc>
        <w:tc>
          <w:tcPr>
            <w:tcW w:w="1128" w:type="dxa"/>
            <w:vAlign w:val="bottom"/>
          </w:tcPr>
          <w:p w:rsidR="008D75E8" w:rsidRPr="002123DA" w:rsidRDefault="008D75E8" w:rsidP="003D47AD">
            <w:pPr>
              <w:jc w:val="center"/>
              <w:rPr>
                <w:sz w:val="24"/>
                <w:szCs w:val="24"/>
              </w:rPr>
            </w:pPr>
            <w:r>
              <w:rPr>
                <w:sz w:val="24"/>
                <w:szCs w:val="24"/>
              </w:rPr>
              <w:t>$86,160</w:t>
            </w:r>
          </w:p>
        </w:tc>
        <w:tc>
          <w:tcPr>
            <w:tcW w:w="1296" w:type="dxa"/>
            <w:vAlign w:val="bottom"/>
          </w:tcPr>
          <w:p w:rsidR="008D75E8" w:rsidRPr="002123DA" w:rsidRDefault="008D75E8" w:rsidP="003D47AD">
            <w:pPr>
              <w:jc w:val="center"/>
              <w:rPr>
                <w:sz w:val="24"/>
                <w:szCs w:val="24"/>
              </w:rPr>
            </w:pPr>
            <w:r w:rsidRPr="002123DA">
              <w:rPr>
                <w:sz w:val="24"/>
                <w:szCs w:val="24"/>
              </w:rPr>
              <w:t>$2,294,466</w:t>
            </w:r>
          </w:p>
        </w:tc>
      </w:tr>
      <w:tr w:rsidR="008D75E8" w:rsidTr="008D75E8">
        <w:tc>
          <w:tcPr>
            <w:tcW w:w="1835" w:type="dxa"/>
          </w:tcPr>
          <w:p w:rsidR="008D75E8" w:rsidRPr="00EA1F87" w:rsidRDefault="008D75E8" w:rsidP="003D47AD">
            <w:pPr>
              <w:jc w:val="center"/>
              <w:rPr>
                <w:b/>
                <w:sz w:val="24"/>
                <w:szCs w:val="24"/>
              </w:rPr>
            </w:pPr>
            <w:r>
              <w:rPr>
                <w:b/>
                <w:sz w:val="24"/>
                <w:szCs w:val="24"/>
              </w:rPr>
              <w:t>Increase from Initial</w:t>
            </w:r>
            <w:r w:rsidRPr="00EA1F87">
              <w:rPr>
                <w:b/>
                <w:sz w:val="24"/>
                <w:szCs w:val="24"/>
              </w:rPr>
              <w:t xml:space="preserve"> Plan</w:t>
            </w:r>
            <w:r>
              <w:rPr>
                <w:b/>
                <w:sz w:val="24"/>
                <w:szCs w:val="24"/>
              </w:rPr>
              <w:t xml:space="preserve"> to September 21, 2009</w:t>
            </w:r>
            <w:r w:rsidRPr="00EA1F87">
              <w:rPr>
                <w:b/>
                <w:sz w:val="24"/>
                <w:szCs w:val="24"/>
              </w:rPr>
              <w:t xml:space="preserve"> Plan</w:t>
            </w:r>
          </w:p>
        </w:tc>
        <w:tc>
          <w:tcPr>
            <w:tcW w:w="1145" w:type="dxa"/>
            <w:vAlign w:val="bottom"/>
          </w:tcPr>
          <w:p w:rsidR="008D75E8" w:rsidRPr="004C51B9" w:rsidRDefault="008D75E8" w:rsidP="003D47AD">
            <w:pPr>
              <w:jc w:val="center"/>
            </w:pPr>
          </w:p>
        </w:tc>
        <w:tc>
          <w:tcPr>
            <w:tcW w:w="1465" w:type="dxa"/>
            <w:vAlign w:val="bottom"/>
          </w:tcPr>
          <w:p w:rsidR="008D75E8" w:rsidRPr="004C51B9" w:rsidRDefault="008D75E8" w:rsidP="003D47AD">
            <w:pPr>
              <w:jc w:val="center"/>
            </w:pPr>
            <w:r>
              <w:t>$15,717,641</w:t>
            </w:r>
          </w:p>
        </w:tc>
        <w:tc>
          <w:tcPr>
            <w:tcW w:w="1191" w:type="dxa"/>
            <w:vAlign w:val="bottom"/>
          </w:tcPr>
          <w:p w:rsidR="008D75E8" w:rsidRDefault="008D75E8" w:rsidP="003D47AD">
            <w:pPr>
              <w:jc w:val="center"/>
              <w:rPr>
                <w:sz w:val="26"/>
                <w:szCs w:val="26"/>
              </w:rPr>
            </w:pPr>
          </w:p>
        </w:tc>
        <w:tc>
          <w:tcPr>
            <w:tcW w:w="1516" w:type="dxa"/>
            <w:vAlign w:val="bottom"/>
          </w:tcPr>
          <w:p w:rsidR="008D75E8" w:rsidRPr="008D75E8" w:rsidRDefault="008D75E8" w:rsidP="00FD03CF">
            <w:pPr>
              <w:jc w:val="center"/>
              <w:rPr>
                <w:sz w:val="26"/>
                <w:szCs w:val="26"/>
              </w:rPr>
            </w:pPr>
            <w:r w:rsidRPr="008D75E8">
              <w:rPr>
                <w:sz w:val="26"/>
                <w:szCs w:val="26"/>
              </w:rPr>
              <w:t>$16,744,006</w:t>
            </w:r>
          </w:p>
        </w:tc>
        <w:tc>
          <w:tcPr>
            <w:tcW w:w="1128" w:type="dxa"/>
            <w:vAlign w:val="bottom"/>
          </w:tcPr>
          <w:p w:rsidR="008D75E8" w:rsidRDefault="008D75E8" w:rsidP="003D47AD">
            <w:pPr>
              <w:jc w:val="center"/>
            </w:pPr>
          </w:p>
        </w:tc>
        <w:tc>
          <w:tcPr>
            <w:tcW w:w="1296" w:type="dxa"/>
            <w:vAlign w:val="bottom"/>
          </w:tcPr>
          <w:p w:rsidR="008D75E8" w:rsidRPr="002123DA" w:rsidRDefault="008D75E8" w:rsidP="003D47AD">
            <w:pPr>
              <w:jc w:val="center"/>
            </w:pPr>
            <w:r>
              <w:t>$2,208,306</w:t>
            </w:r>
          </w:p>
        </w:tc>
      </w:tr>
    </w:tbl>
    <w:p w:rsidR="00023BD3" w:rsidRDefault="00023BD3" w:rsidP="00023BD3">
      <w:pPr>
        <w:spacing w:line="360" w:lineRule="auto"/>
        <w:rPr>
          <w:sz w:val="26"/>
          <w:szCs w:val="26"/>
        </w:rPr>
      </w:pPr>
    </w:p>
    <w:p w:rsidR="00023BD3" w:rsidRPr="00AF130F" w:rsidRDefault="00023BD3" w:rsidP="00023BD3">
      <w:pPr>
        <w:spacing w:line="360" w:lineRule="auto"/>
        <w:rPr>
          <w:b/>
          <w:sz w:val="26"/>
          <w:szCs w:val="26"/>
        </w:rPr>
      </w:pPr>
      <w:r w:rsidRPr="00AF130F">
        <w:rPr>
          <w:b/>
          <w:sz w:val="26"/>
          <w:szCs w:val="26"/>
        </w:rPr>
        <w:t>Chart 3</w:t>
      </w:r>
      <w:r>
        <w:rPr>
          <w:b/>
          <w:sz w:val="26"/>
          <w:szCs w:val="26"/>
        </w:rPr>
        <w:t xml:space="preserve"> – Plan Cost and Common Costs:</w:t>
      </w:r>
    </w:p>
    <w:tbl>
      <w:tblPr>
        <w:tblStyle w:val="TableGrid"/>
        <w:tblW w:w="0" w:type="auto"/>
        <w:tblLook w:val="04A0"/>
      </w:tblPr>
      <w:tblGrid>
        <w:gridCol w:w="2197"/>
        <w:gridCol w:w="2691"/>
        <w:gridCol w:w="2344"/>
        <w:gridCol w:w="2344"/>
      </w:tblGrid>
      <w:tr w:rsidR="00023BD3" w:rsidTr="003D47AD">
        <w:tc>
          <w:tcPr>
            <w:tcW w:w="2197" w:type="dxa"/>
          </w:tcPr>
          <w:p w:rsidR="00023BD3" w:rsidRPr="00EB6778" w:rsidRDefault="00023BD3" w:rsidP="003D47AD">
            <w:pPr>
              <w:spacing w:line="360" w:lineRule="auto"/>
              <w:jc w:val="center"/>
              <w:rPr>
                <w:b/>
                <w:sz w:val="26"/>
                <w:szCs w:val="26"/>
                <w:u w:val="single"/>
              </w:rPr>
            </w:pPr>
            <w:r>
              <w:rPr>
                <w:b/>
                <w:sz w:val="26"/>
                <w:szCs w:val="26"/>
                <w:u w:val="single"/>
              </w:rPr>
              <w:t>Cost Summary</w:t>
            </w:r>
          </w:p>
        </w:tc>
        <w:tc>
          <w:tcPr>
            <w:tcW w:w="2691" w:type="dxa"/>
          </w:tcPr>
          <w:p w:rsidR="00023BD3" w:rsidRPr="00732D89" w:rsidRDefault="00023BD3" w:rsidP="003D47AD">
            <w:pPr>
              <w:spacing w:line="360" w:lineRule="auto"/>
              <w:jc w:val="center"/>
              <w:rPr>
                <w:b/>
                <w:sz w:val="26"/>
                <w:szCs w:val="26"/>
                <w:u w:val="single"/>
              </w:rPr>
            </w:pPr>
            <w:r w:rsidRPr="00732D89">
              <w:rPr>
                <w:b/>
                <w:sz w:val="26"/>
                <w:szCs w:val="26"/>
                <w:u w:val="single"/>
              </w:rPr>
              <w:t>Met Ed</w:t>
            </w:r>
          </w:p>
        </w:tc>
        <w:tc>
          <w:tcPr>
            <w:tcW w:w="2344" w:type="dxa"/>
          </w:tcPr>
          <w:p w:rsidR="00023BD3" w:rsidRPr="00732D89" w:rsidRDefault="00023BD3" w:rsidP="003D47AD">
            <w:pPr>
              <w:spacing w:line="360" w:lineRule="auto"/>
              <w:jc w:val="center"/>
              <w:rPr>
                <w:b/>
                <w:sz w:val="26"/>
                <w:szCs w:val="26"/>
                <w:u w:val="single"/>
              </w:rPr>
            </w:pPr>
            <w:r w:rsidRPr="00732D89">
              <w:rPr>
                <w:b/>
                <w:sz w:val="26"/>
                <w:szCs w:val="26"/>
                <w:u w:val="single"/>
              </w:rPr>
              <w:t>Penelec</w:t>
            </w:r>
          </w:p>
        </w:tc>
        <w:tc>
          <w:tcPr>
            <w:tcW w:w="2344" w:type="dxa"/>
          </w:tcPr>
          <w:p w:rsidR="00023BD3" w:rsidRPr="00732D89" w:rsidRDefault="00023BD3" w:rsidP="003D47AD">
            <w:pPr>
              <w:spacing w:line="360" w:lineRule="auto"/>
              <w:jc w:val="center"/>
              <w:rPr>
                <w:b/>
                <w:sz w:val="26"/>
                <w:szCs w:val="26"/>
                <w:u w:val="single"/>
              </w:rPr>
            </w:pPr>
            <w:r w:rsidRPr="00732D89">
              <w:rPr>
                <w:b/>
                <w:sz w:val="26"/>
                <w:szCs w:val="26"/>
                <w:u w:val="single"/>
              </w:rPr>
              <w:t>Penn Power</w:t>
            </w:r>
          </w:p>
        </w:tc>
      </w:tr>
      <w:tr w:rsidR="008D75E8" w:rsidTr="003D47AD">
        <w:tc>
          <w:tcPr>
            <w:tcW w:w="2197" w:type="dxa"/>
            <w:vAlign w:val="bottom"/>
          </w:tcPr>
          <w:p w:rsidR="008D75E8" w:rsidRPr="00263795" w:rsidRDefault="008D75E8" w:rsidP="003D47AD">
            <w:pPr>
              <w:jc w:val="center"/>
              <w:rPr>
                <w:sz w:val="26"/>
                <w:szCs w:val="26"/>
              </w:rPr>
            </w:pPr>
            <w:r w:rsidRPr="00263795">
              <w:rPr>
                <w:sz w:val="26"/>
                <w:szCs w:val="26"/>
              </w:rPr>
              <w:t>Plan Costs</w:t>
            </w:r>
            <w:r>
              <w:rPr>
                <w:rStyle w:val="FootnoteReference"/>
                <w:sz w:val="26"/>
                <w:szCs w:val="26"/>
              </w:rPr>
              <w:footnoteReference w:id="31"/>
            </w:r>
          </w:p>
        </w:tc>
        <w:tc>
          <w:tcPr>
            <w:tcW w:w="2691" w:type="dxa"/>
            <w:vAlign w:val="bottom"/>
          </w:tcPr>
          <w:p w:rsidR="008D75E8" w:rsidRPr="004C51B9" w:rsidRDefault="008D75E8" w:rsidP="003D47AD">
            <w:pPr>
              <w:jc w:val="center"/>
              <w:rPr>
                <w:sz w:val="24"/>
                <w:szCs w:val="24"/>
              </w:rPr>
            </w:pPr>
            <w:r>
              <w:rPr>
                <w:sz w:val="24"/>
                <w:szCs w:val="24"/>
              </w:rPr>
              <w:t>$83,095,457</w:t>
            </w:r>
          </w:p>
        </w:tc>
        <w:tc>
          <w:tcPr>
            <w:tcW w:w="2344" w:type="dxa"/>
            <w:vAlign w:val="bottom"/>
          </w:tcPr>
          <w:p w:rsidR="008D75E8" w:rsidRPr="008D75E8" w:rsidRDefault="008D75E8" w:rsidP="00FD03CF">
            <w:pPr>
              <w:jc w:val="center"/>
              <w:rPr>
                <w:sz w:val="26"/>
                <w:szCs w:val="26"/>
              </w:rPr>
            </w:pPr>
            <w:r w:rsidRPr="008D75E8">
              <w:rPr>
                <w:sz w:val="26"/>
                <w:szCs w:val="26"/>
              </w:rPr>
              <w:t>$74,620,602</w:t>
            </w:r>
          </w:p>
        </w:tc>
        <w:tc>
          <w:tcPr>
            <w:tcW w:w="2344" w:type="dxa"/>
            <w:vAlign w:val="bottom"/>
          </w:tcPr>
          <w:p w:rsidR="008D75E8" w:rsidRPr="00C30C1B" w:rsidRDefault="008D75E8" w:rsidP="003D47AD">
            <w:pPr>
              <w:jc w:val="center"/>
              <w:rPr>
                <w:sz w:val="24"/>
                <w:szCs w:val="24"/>
              </w:rPr>
            </w:pPr>
            <w:r w:rsidRPr="00C30C1B">
              <w:rPr>
                <w:sz w:val="26"/>
                <w:szCs w:val="26"/>
              </w:rPr>
              <w:t>$24,994,734</w:t>
            </w:r>
          </w:p>
        </w:tc>
      </w:tr>
      <w:tr w:rsidR="008D75E8" w:rsidTr="003D47AD">
        <w:tc>
          <w:tcPr>
            <w:tcW w:w="2197" w:type="dxa"/>
          </w:tcPr>
          <w:p w:rsidR="008D75E8" w:rsidRPr="009E5F46" w:rsidRDefault="008D75E8" w:rsidP="003D47AD">
            <w:pPr>
              <w:jc w:val="center"/>
              <w:rPr>
                <w:sz w:val="26"/>
                <w:szCs w:val="26"/>
              </w:rPr>
            </w:pPr>
            <w:r>
              <w:rPr>
                <w:sz w:val="26"/>
                <w:szCs w:val="26"/>
              </w:rPr>
              <w:t>Common Costs</w:t>
            </w:r>
            <w:r>
              <w:rPr>
                <w:rStyle w:val="FootnoteReference"/>
                <w:sz w:val="26"/>
                <w:szCs w:val="26"/>
              </w:rPr>
              <w:footnoteReference w:id="32"/>
            </w:r>
          </w:p>
        </w:tc>
        <w:tc>
          <w:tcPr>
            <w:tcW w:w="2691" w:type="dxa"/>
            <w:vAlign w:val="center"/>
          </w:tcPr>
          <w:p w:rsidR="008D75E8" w:rsidRPr="004621C3" w:rsidRDefault="008D75E8" w:rsidP="003D47AD">
            <w:pPr>
              <w:jc w:val="center"/>
              <w:rPr>
                <w:u w:val="single"/>
              </w:rPr>
            </w:pPr>
            <w:r w:rsidRPr="004C51B9">
              <w:rPr>
                <w:sz w:val="24"/>
                <w:szCs w:val="24"/>
              </w:rPr>
              <w:t>$16,372,12</w:t>
            </w:r>
            <w:r w:rsidR="00442768">
              <w:rPr>
                <w:sz w:val="24"/>
                <w:szCs w:val="24"/>
              </w:rPr>
              <w:t>0</w:t>
            </w:r>
          </w:p>
        </w:tc>
        <w:tc>
          <w:tcPr>
            <w:tcW w:w="2344" w:type="dxa"/>
            <w:vAlign w:val="center"/>
          </w:tcPr>
          <w:p w:rsidR="008D75E8" w:rsidRPr="008D75E8" w:rsidRDefault="008D75E8" w:rsidP="00FD03CF">
            <w:pPr>
              <w:jc w:val="center"/>
              <w:rPr>
                <w:u w:val="single"/>
              </w:rPr>
            </w:pPr>
            <w:r w:rsidRPr="008D75E8">
              <w:rPr>
                <w:sz w:val="26"/>
                <w:szCs w:val="26"/>
              </w:rPr>
              <w:t>$17,278,366</w:t>
            </w:r>
          </w:p>
        </w:tc>
        <w:tc>
          <w:tcPr>
            <w:tcW w:w="2344" w:type="dxa"/>
            <w:vAlign w:val="center"/>
          </w:tcPr>
          <w:p w:rsidR="008D75E8" w:rsidRPr="004621C3" w:rsidRDefault="008D75E8" w:rsidP="003D47AD">
            <w:pPr>
              <w:jc w:val="center"/>
              <w:rPr>
                <w:u w:val="single"/>
              </w:rPr>
            </w:pPr>
            <w:r w:rsidRPr="002123DA">
              <w:rPr>
                <w:sz w:val="24"/>
                <w:szCs w:val="24"/>
              </w:rPr>
              <w:t>$2,294,466</w:t>
            </w:r>
          </w:p>
        </w:tc>
      </w:tr>
      <w:tr w:rsidR="008D75E8" w:rsidTr="003D47AD">
        <w:tc>
          <w:tcPr>
            <w:tcW w:w="2197" w:type="dxa"/>
          </w:tcPr>
          <w:p w:rsidR="008D75E8" w:rsidRPr="00284D23" w:rsidRDefault="008D75E8" w:rsidP="003D47AD">
            <w:pPr>
              <w:jc w:val="center"/>
              <w:rPr>
                <w:sz w:val="26"/>
                <w:szCs w:val="26"/>
              </w:rPr>
            </w:pPr>
          </w:p>
        </w:tc>
        <w:tc>
          <w:tcPr>
            <w:tcW w:w="2691" w:type="dxa"/>
          </w:tcPr>
          <w:p w:rsidR="008D75E8" w:rsidRPr="00ED6995" w:rsidRDefault="008D75E8" w:rsidP="003D47AD">
            <w:pPr>
              <w:jc w:val="center"/>
              <w:rPr>
                <w:b/>
                <w:sz w:val="26"/>
                <w:szCs w:val="26"/>
              </w:rPr>
            </w:pPr>
          </w:p>
        </w:tc>
        <w:tc>
          <w:tcPr>
            <w:tcW w:w="2344" w:type="dxa"/>
          </w:tcPr>
          <w:p w:rsidR="008D75E8" w:rsidRPr="008D75E8" w:rsidRDefault="008D75E8" w:rsidP="00FD03CF">
            <w:pPr>
              <w:jc w:val="center"/>
              <w:rPr>
                <w:sz w:val="26"/>
                <w:szCs w:val="26"/>
              </w:rPr>
            </w:pPr>
          </w:p>
        </w:tc>
        <w:tc>
          <w:tcPr>
            <w:tcW w:w="2344" w:type="dxa"/>
          </w:tcPr>
          <w:p w:rsidR="008D75E8" w:rsidRPr="00ED6995" w:rsidRDefault="008D75E8" w:rsidP="003D47AD">
            <w:pPr>
              <w:jc w:val="center"/>
              <w:rPr>
                <w:b/>
                <w:sz w:val="26"/>
                <w:szCs w:val="26"/>
              </w:rPr>
            </w:pPr>
          </w:p>
        </w:tc>
      </w:tr>
      <w:tr w:rsidR="008D75E8" w:rsidTr="003D47AD">
        <w:tc>
          <w:tcPr>
            <w:tcW w:w="2197" w:type="dxa"/>
          </w:tcPr>
          <w:p w:rsidR="008D75E8" w:rsidRPr="00EB6778" w:rsidRDefault="008D75E8" w:rsidP="003D47AD">
            <w:pPr>
              <w:jc w:val="center"/>
              <w:rPr>
                <w:b/>
                <w:sz w:val="26"/>
                <w:szCs w:val="26"/>
              </w:rPr>
            </w:pPr>
            <w:r>
              <w:rPr>
                <w:b/>
                <w:sz w:val="26"/>
                <w:szCs w:val="26"/>
              </w:rPr>
              <w:t>Total Plan and Common Costs</w:t>
            </w:r>
          </w:p>
        </w:tc>
        <w:tc>
          <w:tcPr>
            <w:tcW w:w="2691" w:type="dxa"/>
            <w:vAlign w:val="bottom"/>
          </w:tcPr>
          <w:p w:rsidR="008D75E8" w:rsidRPr="00AF130F" w:rsidRDefault="00442768" w:rsidP="003D47AD">
            <w:pPr>
              <w:jc w:val="center"/>
              <w:rPr>
                <w:sz w:val="24"/>
                <w:szCs w:val="24"/>
              </w:rPr>
            </w:pPr>
            <w:r>
              <w:rPr>
                <w:sz w:val="24"/>
                <w:szCs w:val="24"/>
              </w:rPr>
              <w:t>$99,467,577</w:t>
            </w:r>
          </w:p>
        </w:tc>
        <w:tc>
          <w:tcPr>
            <w:tcW w:w="2344" w:type="dxa"/>
            <w:vAlign w:val="bottom"/>
          </w:tcPr>
          <w:p w:rsidR="008D75E8" w:rsidRPr="008D75E8" w:rsidRDefault="008D75E8" w:rsidP="00FD03CF">
            <w:pPr>
              <w:jc w:val="center"/>
              <w:rPr>
                <w:sz w:val="24"/>
                <w:szCs w:val="24"/>
              </w:rPr>
            </w:pPr>
            <w:r w:rsidRPr="008D75E8">
              <w:rPr>
                <w:sz w:val="24"/>
                <w:szCs w:val="24"/>
              </w:rPr>
              <w:t>$91,898,968</w:t>
            </w:r>
          </w:p>
        </w:tc>
        <w:tc>
          <w:tcPr>
            <w:tcW w:w="2344" w:type="dxa"/>
            <w:vAlign w:val="bottom"/>
          </w:tcPr>
          <w:p w:rsidR="008D75E8" w:rsidRPr="00AF130F" w:rsidRDefault="008D75E8" w:rsidP="003D47AD">
            <w:pPr>
              <w:jc w:val="center"/>
              <w:rPr>
                <w:sz w:val="24"/>
                <w:szCs w:val="24"/>
              </w:rPr>
            </w:pPr>
            <w:r w:rsidRPr="00AF130F">
              <w:rPr>
                <w:sz w:val="24"/>
                <w:szCs w:val="24"/>
              </w:rPr>
              <w:t>$27,289,200</w:t>
            </w:r>
          </w:p>
        </w:tc>
      </w:tr>
      <w:tr w:rsidR="008D75E8" w:rsidTr="003D47AD">
        <w:tc>
          <w:tcPr>
            <w:tcW w:w="2197" w:type="dxa"/>
          </w:tcPr>
          <w:p w:rsidR="008D75E8" w:rsidRPr="00AF130F" w:rsidRDefault="008D75E8" w:rsidP="003D47AD">
            <w:pPr>
              <w:jc w:val="center"/>
              <w:rPr>
                <w:b/>
                <w:sz w:val="24"/>
                <w:szCs w:val="24"/>
              </w:rPr>
            </w:pPr>
            <w:r w:rsidRPr="00AF130F">
              <w:rPr>
                <w:b/>
                <w:sz w:val="24"/>
                <w:szCs w:val="24"/>
              </w:rPr>
              <w:t>Cap from Chart 1</w:t>
            </w:r>
          </w:p>
        </w:tc>
        <w:tc>
          <w:tcPr>
            <w:tcW w:w="2691" w:type="dxa"/>
            <w:vAlign w:val="bottom"/>
          </w:tcPr>
          <w:p w:rsidR="008D75E8" w:rsidRPr="00AF130F" w:rsidRDefault="008D75E8" w:rsidP="003D47AD">
            <w:pPr>
              <w:jc w:val="center"/>
              <w:rPr>
                <w:sz w:val="24"/>
                <w:szCs w:val="24"/>
              </w:rPr>
            </w:pPr>
            <w:r w:rsidRPr="00AF130F">
              <w:rPr>
                <w:sz w:val="24"/>
                <w:szCs w:val="24"/>
              </w:rPr>
              <w:t>$99,467,577</w:t>
            </w:r>
          </w:p>
        </w:tc>
        <w:tc>
          <w:tcPr>
            <w:tcW w:w="2344" w:type="dxa"/>
            <w:vAlign w:val="bottom"/>
          </w:tcPr>
          <w:p w:rsidR="008D75E8" w:rsidRPr="008D75E8" w:rsidRDefault="008D75E8" w:rsidP="00FD03CF">
            <w:pPr>
              <w:jc w:val="center"/>
              <w:rPr>
                <w:sz w:val="24"/>
                <w:szCs w:val="24"/>
              </w:rPr>
            </w:pPr>
            <w:r w:rsidRPr="008D75E8">
              <w:rPr>
                <w:sz w:val="24"/>
                <w:szCs w:val="24"/>
              </w:rPr>
              <w:t>$91,898,968</w:t>
            </w:r>
          </w:p>
        </w:tc>
        <w:tc>
          <w:tcPr>
            <w:tcW w:w="2344" w:type="dxa"/>
            <w:vAlign w:val="bottom"/>
          </w:tcPr>
          <w:p w:rsidR="008D75E8" w:rsidRPr="00AF130F" w:rsidRDefault="008D75E8" w:rsidP="003D47AD">
            <w:pPr>
              <w:jc w:val="center"/>
              <w:rPr>
                <w:sz w:val="24"/>
                <w:szCs w:val="24"/>
              </w:rPr>
            </w:pPr>
            <w:r w:rsidRPr="00AF130F">
              <w:rPr>
                <w:sz w:val="24"/>
                <w:szCs w:val="24"/>
              </w:rPr>
              <w:t>$26,639,155</w:t>
            </w:r>
          </w:p>
        </w:tc>
      </w:tr>
      <w:tr w:rsidR="008D75E8" w:rsidTr="003D47AD">
        <w:tc>
          <w:tcPr>
            <w:tcW w:w="2197" w:type="dxa"/>
          </w:tcPr>
          <w:p w:rsidR="008D75E8" w:rsidRDefault="008D75E8" w:rsidP="003D47AD">
            <w:pPr>
              <w:jc w:val="center"/>
              <w:rPr>
                <w:b/>
              </w:rPr>
            </w:pPr>
          </w:p>
          <w:p w:rsidR="008D75E8" w:rsidRPr="002525BB" w:rsidRDefault="008D75E8" w:rsidP="003D47AD">
            <w:pPr>
              <w:jc w:val="center"/>
              <w:rPr>
                <w:b/>
              </w:rPr>
            </w:pPr>
            <w:r w:rsidRPr="002525BB">
              <w:rPr>
                <w:b/>
              </w:rPr>
              <w:t>Below (Above) Cap</w:t>
            </w:r>
          </w:p>
        </w:tc>
        <w:tc>
          <w:tcPr>
            <w:tcW w:w="2691" w:type="dxa"/>
            <w:vAlign w:val="bottom"/>
          </w:tcPr>
          <w:p w:rsidR="008D75E8" w:rsidRPr="00662B21" w:rsidRDefault="00442768" w:rsidP="003D47AD">
            <w:pPr>
              <w:jc w:val="center"/>
              <w:rPr>
                <w:sz w:val="24"/>
                <w:szCs w:val="24"/>
              </w:rPr>
            </w:pPr>
            <w:r>
              <w:rPr>
                <w:sz w:val="24"/>
                <w:szCs w:val="24"/>
              </w:rPr>
              <w:t>$0</w:t>
            </w:r>
          </w:p>
        </w:tc>
        <w:tc>
          <w:tcPr>
            <w:tcW w:w="2344" w:type="dxa"/>
            <w:vAlign w:val="bottom"/>
          </w:tcPr>
          <w:p w:rsidR="008D75E8" w:rsidRPr="008D75E8" w:rsidRDefault="008D75E8" w:rsidP="00FD03CF">
            <w:pPr>
              <w:jc w:val="center"/>
              <w:rPr>
                <w:sz w:val="24"/>
                <w:szCs w:val="24"/>
              </w:rPr>
            </w:pPr>
            <w:r w:rsidRPr="008D75E8">
              <w:rPr>
                <w:sz w:val="24"/>
                <w:szCs w:val="24"/>
              </w:rPr>
              <w:t>$0</w:t>
            </w:r>
          </w:p>
        </w:tc>
        <w:tc>
          <w:tcPr>
            <w:tcW w:w="2344" w:type="dxa"/>
            <w:vAlign w:val="bottom"/>
          </w:tcPr>
          <w:p w:rsidR="008D75E8" w:rsidRPr="00662B21" w:rsidRDefault="008D75E8" w:rsidP="003D47AD">
            <w:pPr>
              <w:jc w:val="center"/>
              <w:rPr>
                <w:sz w:val="24"/>
                <w:szCs w:val="24"/>
              </w:rPr>
            </w:pPr>
            <w:r>
              <w:rPr>
                <w:sz w:val="24"/>
                <w:szCs w:val="24"/>
              </w:rPr>
              <w:t>($650,045)</w:t>
            </w:r>
          </w:p>
        </w:tc>
      </w:tr>
    </w:tbl>
    <w:p w:rsidR="0083378A" w:rsidRDefault="0083378A" w:rsidP="005B1144">
      <w:pPr>
        <w:spacing w:line="360" w:lineRule="auto"/>
        <w:ind w:firstLine="1440"/>
        <w:rPr>
          <w:sz w:val="26"/>
          <w:szCs w:val="26"/>
        </w:rPr>
      </w:pPr>
      <w:r>
        <w:rPr>
          <w:sz w:val="26"/>
          <w:szCs w:val="26"/>
        </w:rPr>
        <w:t xml:space="preserve"> </w:t>
      </w:r>
    </w:p>
    <w:p w:rsidR="00FB0ACA" w:rsidRDefault="00713216" w:rsidP="00FB0ACA">
      <w:pPr>
        <w:pStyle w:val="Heading5"/>
      </w:pPr>
      <w:bookmarkStart w:id="151" w:name="_Toc242516290"/>
      <w:bookmarkStart w:id="152" w:name="_Toc244499346"/>
      <w:r>
        <w:t>(2)</w:t>
      </w:r>
      <w:r w:rsidR="00FB0ACA">
        <w:tab/>
        <w:t>Disposition</w:t>
      </w:r>
      <w:bookmarkEnd w:id="151"/>
      <w:bookmarkEnd w:id="152"/>
    </w:p>
    <w:p w:rsidR="00FB0ACA" w:rsidRDefault="00FB0ACA" w:rsidP="00FB0ACA"/>
    <w:p w:rsidR="00A10A4A" w:rsidRPr="004543CB" w:rsidRDefault="00A10A4A" w:rsidP="00A10A4A">
      <w:pPr>
        <w:spacing w:line="360" w:lineRule="auto"/>
        <w:ind w:firstLine="1440"/>
        <w:rPr>
          <w:color w:val="000000"/>
          <w:sz w:val="26"/>
          <w:szCs w:val="26"/>
        </w:rPr>
      </w:pPr>
      <w:r>
        <w:rPr>
          <w:sz w:val="26"/>
          <w:szCs w:val="26"/>
        </w:rPr>
        <w:t xml:space="preserve">The Commission approves </w:t>
      </w:r>
      <w:r w:rsidR="004912DF">
        <w:rPr>
          <w:sz w:val="26"/>
          <w:szCs w:val="26"/>
        </w:rPr>
        <w:t xml:space="preserve">the Companies’ proposed </w:t>
      </w:r>
      <w:r>
        <w:rPr>
          <w:sz w:val="26"/>
          <w:szCs w:val="26"/>
        </w:rPr>
        <w:t>levelized cost recovery plan, except w</w:t>
      </w:r>
      <w:r w:rsidR="004912DF">
        <w:rPr>
          <w:sz w:val="26"/>
          <w:szCs w:val="26"/>
        </w:rPr>
        <w:t>h</w:t>
      </w:r>
      <w:r>
        <w:rPr>
          <w:sz w:val="26"/>
          <w:szCs w:val="26"/>
        </w:rPr>
        <w:t xml:space="preserve">ere modified in other sections of this Opinion and Order.  </w:t>
      </w:r>
      <w:r>
        <w:rPr>
          <w:color w:val="000000"/>
          <w:sz w:val="26"/>
          <w:szCs w:val="26"/>
        </w:rPr>
        <w:t>By way of further explanation of our decision, e</w:t>
      </w:r>
      <w:r w:rsidRPr="004543CB">
        <w:rPr>
          <w:color w:val="000000"/>
          <w:sz w:val="26"/>
          <w:szCs w:val="26"/>
        </w:rPr>
        <w:t>ach EE&amp;C p</w:t>
      </w:r>
      <w:r w:rsidR="009C5EAC">
        <w:rPr>
          <w:color w:val="000000"/>
          <w:sz w:val="26"/>
          <w:szCs w:val="26"/>
        </w:rPr>
        <w:t>lan covers four years.  Section </w:t>
      </w:r>
      <w:r w:rsidRPr="004543CB">
        <w:rPr>
          <w:color w:val="000000"/>
          <w:sz w:val="26"/>
          <w:szCs w:val="26"/>
        </w:rPr>
        <w:t xml:space="preserve">2806.1(g) of Act 129, states that “[t]he total cost of any plan required under this </w:t>
      </w:r>
      <w:r w:rsidRPr="004543CB">
        <w:rPr>
          <w:color w:val="000000"/>
          <w:sz w:val="26"/>
          <w:szCs w:val="26"/>
        </w:rPr>
        <w:lastRenderedPageBreak/>
        <w:t xml:space="preserve">section shall not exceed 2% of the electric distribution company’s total annual revenue as of December 31, 2006.”  66 Pa. </w:t>
      </w:r>
      <w:r w:rsidR="00982309">
        <w:rPr>
          <w:color w:val="000000"/>
          <w:sz w:val="26"/>
          <w:szCs w:val="26"/>
        </w:rPr>
        <w:t>C.S. § 2806.1(g).  As the EE&amp;C P</w:t>
      </w:r>
      <w:r w:rsidRPr="004543CB">
        <w:rPr>
          <w:color w:val="000000"/>
          <w:sz w:val="26"/>
          <w:szCs w:val="26"/>
        </w:rPr>
        <w:t xml:space="preserve">lans cover four years and the 2% of total annual revenues can reasonably be interpreted as an annual cost limit, the “total cost” of any four year plan cannot exceed the </w:t>
      </w:r>
      <w:r w:rsidR="009C5EAC">
        <w:rPr>
          <w:color w:val="000000"/>
          <w:sz w:val="26"/>
          <w:szCs w:val="26"/>
        </w:rPr>
        <w:t>aggregate of the four annual 2% </w:t>
      </w:r>
      <w:r w:rsidRPr="004543CB">
        <w:rPr>
          <w:color w:val="000000"/>
          <w:sz w:val="26"/>
          <w:szCs w:val="26"/>
        </w:rPr>
        <w:t xml:space="preserve">limit amounts.  The contrary interpretation would not be reasonable because it would either not allow sufficient funds to accomplish the objectives of the </w:t>
      </w:r>
      <w:r w:rsidR="00E85560">
        <w:rPr>
          <w:color w:val="000000"/>
          <w:sz w:val="26"/>
          <w:szCs w:val="26"/>
        </w:rPr>
        <w:t>A</w:t>
      </w:r>
      <w:r w:rsidRPr="004543CB">
        <w:rPr>
          <w:color w:val="000000"/>
          <w:sz w:val="26"/>
          <w:szCs w:val="26"/>
        </w:rPr>
        <w:t xml:space="preserve">ct or would require EDC shareholders to fund the majority of the funding.  </w:t>
      </w:r>
    </w:p>
    <w:p w:rsidR="00A10A4A" w:rsidRPr="004543CB" w:rsidRDefault="00A10A4A" w:rsidP="00A10A4A">
      <w:pPr>
        <w:spacing w:line="360" w:lineRule="auto"/>
        <w:rPr>
          <w:color w:val="000000"/>
          <w:sz w:val="26"/>
          <w:szCs w:val="26"/>
        </w:rPr>
      </w:pPr>
    </w:p>
    <w:p w:rsidR="00A10A4A" w:rsidRPr="004543CB" w:rsidRDefault="00A10A4A" w:rsidP="00A10A4A">
      <w:pPr>
        <w:spacing w:line="360" w:lineRule="auto"/>
        <w:rPr>
          <w:color w:val="000000"/>
          <w:sz w:val="26"/>
          <w:szCs w:val="26"/>
        </w:rPr>
      </w:pPr>
      <w:r w:rsidRPr="004543CB">
        <w:rPr>
          <w:color w:val="000000"/>
          <w:sz w:val="26"/>
          <w:szCs w:val="26"/>
        </w:rPr>
        <w:tab/>
      </w:r>
      <w:r>
        <w:rPr>
          <w:color w:val="000000"/>
          <w:sz w:val="26"/>
          <w:szCs w:val="26"/>
        </w:rPr>
        <w:tab/>
      </w:r>
      <w:r w:rsidRPr="004543CB">
        <w:rPr>
          <w:color w:val="000000"/>
          <w:sz w:val="26"/>
          <w:szCs w:val="26"/>
        </w:rPr>
        <w:t>Section 2806.1(k) of Act 129 directs that the EDCs “shall recover on a full and current basis from customers, through a reconc</w:t>
      </w:r>
      <w:r w:rsidR="009C5EAC">
        <w:rPr>
          <w:color w:val="000000"/>
          <w:sz w:val="26"/>
          <w:szCs w:val="26"/>
        </w:rPr>
        <w:t>ilable adjustment clause under S</w:t>
      </w:r>
      <w:r w:rsidRPr="004543CB">
        <w:rPr>
          <w:color w:val="000000"/>
          <w:sz w:val="26"/>
          <w:szCs w:val="26"/>
        </w:rPr>
        <w:t>e</w:t>
      </w:r>
      <w:r w:rsidR="009C5EAC">
        <w:rPr>
          <w:color w:val="000000"/>
          <w:sz w:val="26"/>
          <w:szCs w:val="26"/>
        </w:rPr>
        <w:t>ction </w:t>
      </w:r>
      <w:r w:rsidRPr="004543CB">
        <w:rPr>
          <w:color w:val="000000"/>
          <w:sz w:val="26"/>
          <w:szCs w:val="26"/>
        </w:rPr>
        <w:t xml:space="preserve">1307, all reasonable and prudent costs incurred in the provision or management of a plan provided under this section.”   66 Pa. C.S. § 2806.1(k).  This section directs that the EDCs are to recover the total reasonable and prudent costs of a </w:t>
      </w:r>
      <w:r w:rsidR="00DA2469" w:rsidRPr="004543CB">
        <w:rPr>
          <w:color w:val="000000"/>
          <w:sz w:val="26"/>
          <w:szCs w:val="26"/>
        </w:rPr>
        <w:t>four</w:t>
      </w:r>
      <w:r w:rsidR="00DA2469">
        <w:rPr>
          <w:color w:val="000000"/>
          <w:sz w:val="26"/>
          <w:szCs w:val="26"/>
        </w:rPr>
        <w:t>-</w:t>
      </w:r>
      <w:r w:rsidRPr="004543CB">
        <w:rPr>
          <w:color w:val="000000"/>
          <w:sz w:val="26"/>
          <w:szCs w:val="26"/>
        </w:rPr>
        <w:t xml:space="preserve">year plan, which is of course limited by Section 2806.1(g).  While this section mentions recovery on a full and current basis (probably to preclude long-term deferral of EDC cost recovery), we note that the EDC will be receiving some funds early, as complete reconciliation will occur at the end of the </w:t>
      </w:r>
      <w:r w:rsidR="00A22A54" w:rsidRPr="004543CB">
        <w:rPr>
          <w:color w:val="000000"/>
          <w:sz w:val="26"/>
          <w:szCs w:val="26"/>
        </w:rPr>
        <w:t>four</w:t>
      </w:r>
      <w:r w:rsidR="00A22A54">
        <w:rPr>
          <w:color w:val="000000"/>
          <w:sz w:val="26"/>
          <w:szCs w:val="26"/>
        </w:rPr>
        <w:t>-</w:t>
      </w:r>
      <w:r w:rsidRPr="004543CB">
        <w:rPr>
          <w:color w:val="000000"/>
          <w:sz w:val="26"/>
          <w:szCs w:val="26"/>
        </w:rPr>
        <w:t>year plan period.  At that time</w:t>
      </w:r>
      <w:r w:rsidR="00982309">
        <w:rPr>
          <w:color w:val="000000"/>
          <w:sz w:val="26"/>
          <w:szCs w:val="26"/>
        </w:rPr>
        <w:t>,</w:t>
      </w:r>
      <w:r w:rsidRPr="004543CB">
        <w:rPr>
          <w:color w:val="000000"/>
          <w:sz w:val="26"/>
          <w:szCs w:val="26"/>
        </w:rPr>
        <w:t xml:space="preserve"> the Commission will direct what the amount of refunds or collections for </w:t>
      </w:r>
      <w:r w:rsidR="00BE1219">
        <w:rPr>
          <w:color w:val="000000"/>
          <w:sz w:val="26"/>
          <w:szCs w:val="26"/>
        </w:rPr>
        <w:t>over/under</w:t>
      </w:r>
      <w:r w:rsidRPr="004543CB">
        <w:rPr>
          <w:color w:val="000000"/>
          <w:sz w:val="26"/>
          <w:szCs w:val="26"/>
        </w:rPr>
        <w:t xml:space="preserve"> recovery will be and the period in which the reconciliation will occur.</w:t>
      </w:r>
    </w:p>
    <w:p w:rsidR="00A10A4A" w:rsidRPr="004543CB" w:rsidRDefault="00A10A4A" w:rsidP="00A10A4A">
      <w:pPr>
        <w:spacing w:line="360" w:lineRule="auto"/>
        <w:rPr>
          <w:color w:val="000000"/>
          <w:sz w:val="26"/>
          <w:szCs w:val="26"/>
        </w:rPr>
      </w:pPr>
    </w:p>
    <w:p w:rsidR="00A10A4A" w:rsidRDefault="00A10A4A" w:rsidP="00A10A4A">
      <w:pPr>
        <w:pStyle w:val="ListParagraph"/>
        <w:tabs>
          <w:tab w:val="left" w:pos="0"/>
        </w:tabs>
        <w:spacing w:line="360" w:lineRule="auto"/>
        <w:ind w:left="0" w:firstLine="1440"/>
        <w:contextualSpacing w:val="0"/>
        <w:rPr>
          <w:sz w:val="26"/>
          <w:szCs w:val="26"/>
        </w:rPr>
      </w:pPr>
      <w:r w:rsidRPr="004543CB">
        <w:rPr>
          <w:color w:val="000000"/>
          <w:sz w:val="26"/>
          <w:szCs w:val="26"/>
        </w:rPr>
        <w:t xml:space="preserve">Furthermore, </w:t>
      </w:r>
      <w:r w:rsidR="00A22A54">
        <w:rPr>
          <w:color w:val="000000"/>
          <w:sz w:val="26"/>
          <w:szCs w:val="26"/>
        </w:rPr>
        <w:t>S</w:t>
      </w:r>
      <w:r w:rsidR="00A22A54" w:rsidRPr="004543CB">
        <w:rPr>
          <w:color w:val="000000"/>
          <w:sz w:val="26"/>
          <w:szCs w:val="26"/>
        </w:rPr>
        <w:t xml:space="preserve">ection </w:t>
      </w:r>
      <w:r w:rsidRPr="004543CB">
        <w:rPr>
          <w:color w:val="000000"/>
          <w:sz w:val="26"/>
          <w:szCs w:val="26"/>
        </w:rPr>
        <w:t xml:space="preserve">1307(e)(3) of the Code permits the Commission, for good cause, to extend the time period under which EDCs refund or collect </w:t>
      </w:r>
      <w:r w:rsidR="00BE1219">
        <w:rPr>
          <w:color w:val="000000"/>
          <w:sz w:val="26"/>
          <w:szCs w:val="26"/>
        </w:rPr>
        <w:t>over/under</w:t>
      </w:r>
      <w:r w:rsidRPr="004543CB">
        <w:rPr>
          <w:color w:val="000000"/>
          <w:sz w:val="26"/>
          <w:szCs w:val="26"/>
        </w:rPr>
        <w:t xml:space="preserve"> collections for an annual automatic adjustment clause.  See 66 Pa. C.S. § 1307(e)(3).  The </w:t>
      </w:r>
      <w:r>
        <w:rPr>
          <w:color w:val="000000"/>
          <w:sz w:val="26"/>
          <w:szCs w:val="26"/>
        </w:rPr>
        <w:t>Commission finds that t</w:t>
      </w:r>
      <w:r w:rsidRPr="004543CB">
        <w:rPr>
          <w:color w:val="000000"/>
          <w:sz w:val="26"/>
          <w:szCs w:val="26"/>
        </w:rPr>
        <w:t>here is sufficient good cause in the record and in the structure of Act 129</w:t>
      </w:r>
      <w:r w:rsidR="00A22A54">
        <w:rPr>
          <w:color w:val="000000"/>
          <w:sz w:val="26"/>
          <w:szCs w:val="26"/>
        </w:rPr>
        <w:t xml:space="preserve"> for a levelized cost recovery</w:t>
      </w:r>
      <w:r w:rsidRPr="004543CB">
        <w:rPr>
          <w:color w:val="000000"/>
          <w:sz w:val="26"/>
          <w:szCs w:val="26"/>
        </w:rPr>
        <w:t>.  All stakeholders supported the levelized cost recovery as it would prevent rate volatility.  The delay only involves a minor one,</w:t>
      </w:r>
      <w:r w:rsidR="00A22A54">
        <w:rPr>
          <w:color w:val="000000"/>
          <w:sz w:val="26"/>
          <w:szCs w:val="26"/>
        </w:rPr>
        <w:t xml:space="preserve"> or</w:t>
      </w:r>
      <w:r w:rsidRPr="004543CB">
        <w:rPr>
          <w:color w:val="000000"/>
          <w:sz w:val="26"/>
          <w:szCs w:val="26"/>
        </w:rPr>
        <w:t xml:space="preserve"> </w:t>
      </w:r>
      <w:r w:rsidR="00A22A54" w:rsidRPr="004543CB">
        <w:rPr>
          <w:color w:val="000000"/>
          <w:sz w:val="26"/>
          <w:szCs w:val="26"/>
        </w:rPr>
        <w:t>two</w:t>
      </w:r>
      <w:r w:rsidR="00A22A54">
        <w:rPr>
          <w:color w:val="000000"/>
          <w:sz w:val="26"/>
          <w:szCs w:val="26"/>
        </w:rPr>
        <w:t>-</w:t>
      </w:r>
      <w:r w:rsidRPr="004543CB">
        <w:rPr>
          <w:color w:val="000000"/>
          <w:sz w:val="26"/>
          <w:szCs w:val="26"/>
        </w:rPr>
        <w:t>year delay.  Such levelized rates are in accordance with common ratemaking principles and tools, such as cost normalization.</w:t>
      </w:r>
    </w:p>
    <w:p w:rsidR="00A10A4A" w:rsidRDefault="00A10A4A" w:rsidP="003D47AD">
      <w:pPr>
        <w:spacing w:line="360" w:lineRule="auto"/>
        <w:ind w:firstLine="1440"/>
        <w:rPr>
          <w:sz w:val="26"/>
          <w:szCs w:val="26"/>
        </w:rPr>
      </w:pPr>
    </w:p>
    <w:p w:rsidR="00FB0ACA" w:rsidRDefault="00DC7682" w:rsidP="003D47AD">
      <w:pPr>
        <w:spacing w:line="360" w:lineRule="auto"/>
        <w:ind w:firstLine="1440"/>
      </w:pPr>
      <w:r>
        <w:rPr>
          <w:sz w:val="26"/>
          <w:szCs w:val="26"/>
        </w:rPr>
        <w:lastRenderedPageBreak/>
        <w:t xml:space="preserve">That being said, the Plans of </w:t>
      </w:r>
      <w:r w:rsidR="00CE01CF">
        <w:rPr>
          <w:sz w:val="26"/>
          <w:szCs w:val="26"/>
        </w:rPr>
        <w:t xml:space="preserve">Met Ed and </w:t>
      </w:r>
      <w:r w:rsidR="006F68A2">
        <w:rPr>
          <w:sz w:val="26"/>
          <w:szCs w:val="26"/>
        </w:rPr>
        <w:t>Penelec</w:t>
      </w:r>
      <w:r>
        <w:rPr>
          <w:sz w:val="26"/>
          <w:szCs w:val="26"/>
        </w:rPr>
        <w:t xml:space="preserve"> </w:t>
      </w:r>
      <w:r w:rsidR="006F68A2">
        <w:rPr>
          <w:sz w:val="26"/>
          <w:szCs w:val="26"/>
        </w:rPr>
        <w:t>compl</w:t>
      </w:r>
      <w:r w:rsidR="00CE01CF">
        <w:rPr>
          <w:sz w:val="26"/>
          <w:szCs w:val="26"/>
        </w:rPr>
        <w:t>y</w:t>
      </w:r>
      <w:r w:rsidR="006F68A2">
        <w:rPr>
          <w:sz w:val="26"/>
          <w:szCs w:val="26"/>
        </w:rPr>
        <w:t xml:space="preserve"> with the 2% cap as defined by the</w:t>
      </w:r>
      <w:r w:rsidR="00CE01CF">
        <w:rPr>
          <w:sz w:val="26"/>
          <w:szCs w:val="26"/>
        </w:rPr>
        <w:t xml:space="preserve"> Act</w:t>
      </w:r>
      <w:r>
        <w:rPr>
          <w:sz w:val="26"/>
          <w:szCs w:val="26"/>
        </w:rPr>
        <w:t xml:space="preserve">.  The Plan of </w:t>
      </w:r>
      <w:r w:rsidR="006F68A2">
        <w:rPr>
          <w:sz w:val="26"/>
          <w:szCs w:val="26"/>
        </w:rPr>
        <w:t xml:space="preserve">Penn Power, </w:t>
      </w:r>
      <w:r>
        <w:rPr>
          <w:sz w:val="26"/>
          <w:szCs w:val="26"/>
        </w:rPr>
        <w:t xml:space="preserve">in contrast, does not appear to comply with the 2% cap as defined by the Act.  However, </w:t>
      </w:r>
      <w:r w:rsidR="006A1766">
        <w:rPr>
          <w:sz w:val="26"/>
          <w:szCs w:val="26"/>
        </w:rPr>
        <w:t>in Section V.B</w:t>
      </w:r>
      <w:r w:rsidR="003D47AD">
        <w:rPr>
          <w:sz w:val="26"/>
          <w:szCs w:val="26"/>
        </w:rPr>
        <w:t>.4.g. below</w:t>
      </w:r>
      <w:r w:rsidR="006A1766">
        <w:rPr>
          <w:sz w:val="26"/>
          <w:szCs w:val="26"/>
        </w:rPr>
        <w:t>, we</w:t>
      </w:r>
      <w:r w:rsidR="003D47AD">
        <w:rPr>
          <w:sz w:val="26"/>
          <w:szCs w:val="26"/>
        </w:rPr>
        <w:t xml:space="preserve"> disallow the Companies’ proposed contingency reserve.  </w:t>
      </w:r>
      <w:r w:rsidR="00172142">
        <w:rPr>
          <w:sz w:val="26"/>
          <w:szCs w:val="26"/>
        </w:rPr>
        <w:t xml:space="preserve">The </w:t>
      </w:r>
      <w:r w:rsidR="008322B3">
        <w:rPr>
          <w:sz w:val="26"/>
          <w:szCs w:val="26"/>
        </w:rPr>
        <w:t>remov</w:t>
      </w:r>
      <w:r w:rsidR="00C1689D">
        <w:rPr>
          <w:sz w:val="26"/>
          <w:szCs w:val="26"/>
        </w:rPr>
        <w:t>al</w:t>
      </w:r>
      <w:r w:rsidR="008322B3">
        <w:rPr>
          <w:sz w:val="26"/>
          <w:szCs w:val="26"/>
        </w:rPr>
        <w:t xml:space="preserve"> of the contingency reserve from </w:t>
      </w:r>
      <w:r w:rsidR="00023BD3">
        <w:rPr>
          <w:sz w:val="26"/>
          <w:szCs w:val="26"/>
        </w:rPr>
        <w:t xml:space="preserve">Penn Power’s total cost </w:t>
      </w:r>
      <w:r w:rsidR="00CE01CF">
        <w:rPr>
          <w:sz w:val="26"/>
          <w:szCs w:val="26"/>
        </w:rPr>
        <w:t>may</w:t>
      </w:r>
      <w:r w:rsidR="00172142">
        <w:rPr>
          <w:sz w:val="26"/>
          <w:szCs w:val="26"/>
        </w:rPr>
        <w:t xml:space="preserve"> </w:t>
      </w:r>
      <w:r w:rsidR="00023BD3">
        <w:rPr>
          <w:sz w:val="26"/>
          <w:szCs w:val="26"/>
        </w:rPr>
        <w:t>bring Penn Power’s Plan into complia</w:t>
      </w:r>
      <w:r w:rsidR="009C5EAC">
        <w:rPr>
          <w:sz w:val="26"/>
          <w:szCs w:val="26"/>
        </w:rPr>
        <w:t>nce with the 2% </w:t>
      </w:r>
      <w:r w:rsidR="00023BD3">
        <w:rPr>
          <w:sz w:val="26"/>
          <w:szCs w:val="26"/>
        </w:rPr>
        <w:t xml:space="preserve">cap as defined by the Act.  </w:t>
      </w:r>
      <w:r>
        <w:rPr>
          <w:sz w:val="26"/>
          <w:szCs w:val="26"/>
        </w:rPr>
        <w:t xml:space="preserve">The Companies are specifically </w:t>
      </w:r>
      <w:r w:rsidR="00172142">
        <w:rPr>
          <w:sz w:val="26"/>
          <w:szCs w:val="26"/>
        </w:rPr>
        <w:t>direct</w:t>
      </w:r>
      <w:r w:rsidR="00946A92">
        <w:rPr>
          <w:sz w:val="26"/>
          <w:szCs w:val="26"/>
        </w:rPr>
        <w:t>ed</w:t>
      </w:r>
      <w:r w:rsidR="00172142">
        <w:rPr>
          <w:sz w:val="26"/>
          <w:szCs w:val="26"/>
        </w:rPr>
        <w:t xml:space="preserve"> to address</w:t>
      </w:r>
      <w:r w:rsidR="00946A92">
        <w:rPr>
          <w:sz w:val="26"/>
          <w:szCs w:val="26"/>
        </w:rPr>
        <w:t xml:space="preserve"> this issue in </w:t>
      </w:r>
      <w:r>
        <w:rPr>
          <w:sz w:val="26"/>
          <w:szCs w:val="26"/>
        </w:rPr>
        <w:t xml:space="preserve">their </w:t>
      </w:r>
      <w:r w:rsidR="00946A92">
        <w:rPr>
          <w:sz w:val="26"/>
          <w:szCs w:val="26"/>
        </w:rPr>
        <w:t>revised Plan</w:t>
      </w:r>
      <w:r>
        <w:rPr>
          <w:sz w:val="26"/>
          <w:szCs w:val="26"/>
        </w:rPr>
        <w:t>s</w:t>
      </w:r>
      <w:r w:rsidR="00172142">
        <w:rPr>
          <w:sz w:val="26"/>
          <w:szCs w:val="26"/>
        </w:rPr>
        <w:t>, and we w</w:t>
      </w:r>
      <w:r w:rsidR="00F56608">
        <w:rPr>
          <w:sz w:val="26"/>
          <w:szCs w:val="26"/>
        </w:rPr>
        <w:t>ill address this topic further in our Opi</w:t>
      </w:r>
      <w:r w:rsidR="00EA3A87">
        <w:rPr>
          <w:sz w:val="26"/>
          <w:szCs w:val="26"/>
        </w:rPr>
        <w:t>nion and Order on th</w:t>
      </w:r>
      <w:r>
        <w:rPr>
          <w:sz w:val="26"/>
          <w:szCs w:val="26"/>
        </w:rPr>
        <w:t>e r</w:t>
      </w:r>
      <w:r w:rsidR="002260B4">
        <w:rPr>
          <w:sz w:val="26"/>
          <w:szCs w:val="26"/>
        </w:rPr>
        <w:t xml:space="preserve">evised </w:t>
      </w:r>
      <w:r w:rsidR="00EA3A87">
        <w:rPr>
          <w:sz w:val="26"/>
          <w:szCs w:val="26"/>
        </w:rPr>
        <w:t>Plan</w:t>
      </w:r>
      <w:r>
        <w:rPr>
          <w:sz w:val="26"/>
          <w:szCs w:val="26"/>
        </w:rPr>
        <w:t>s</w:t>
      </w:r>
      <w:r w:rsidR="00F56608">
        <w:rPr>
          <w:sz w:val="26"/>
          <w:szCs w:val="26"/>
        </w:rPr>
        <w:t>.</w:t>
      </w:r>
    </w:p>
    <w:p w:rsidR="00FB0ACA" w:rsidRDefault="00FB0ACA" w:rsidP="00FB0ACA"/>
    <w:p w:rsidR="00FB0ACA" w:rsidRPr="00FB0ACA" w:rsidRDefault="00FB0ACA" w:rsidP="00FB0ACA"/>
    <w:p w:rsidR="005B1144" w:rsidRPr="00352094" w:rsidRDefault="00B6382E" w:rsidP="00940B59">
      <w:pPr>
        <w:pStyle w:val="Heading3"/>
      </w:pPr>
      <w:bookmarkStart w:id="153" w:name="_Toc242516291"/>
      <w:bookmarkStart w:id="154" w:name="_Toc244499347"/>
      <w:r>
        <w:t xml:space="preserve">2.  </w:t>
      </w:r>
      <w:r w:rsidR="006F4B78">
        <w:tab/>
      </w:r>
      <w:r w:rsidR="009E26A1" w:rsidRPr="00352094">
        <w:t>Cost Effectiveness/Cost-Benefit Issues</w:t>
      </w:r>
      <w:bookmarkEnd w:id="153"/>
      <w:bookmarkEnd w:id="154"/>
    </w:p>
    <w:p w:rsidR="009E26A1" w:rsidRDefault="009E26A1" w:rsidP="005B1144">
      <w:pPr>
        <w:spacing w:line="360" w:lineRule="auto"/>
        <w:ind w:firstLine="1440"/>
        <w:rPr>
          <w:sz w:val="26"/>
          <w:szCs w:val="26"/>
        </w:rPr>
      </w:pPr>
    </w:p>
    <w:p w:rsidR="00314205" w:rsidRDefault="00821766" w:rsidP="005B1144">
      <w:pPr>
        <w:spacing w:line="360" w:lineRule="auto"/>
        <w:ind w:firstLine="1440"/>
        <w:rPr>
          <w:sz w:val="26"/>
          <w:szCs w:val="26"/>
        </w:rPr>
      </w:pPr>
      <w:r>
        <w:rPr>
          <w:sz w:val="26"/>
          <w:szCs w:val="26"/>
        </w:rPr>
        <w:t xml:space="preserve">Each EDC must demonstrate that the plan is cost effective using a </w:t>
      </w:r>
      <w:r w:rsidR="00270BFC">
        <w:rPr>
          <w:sz w:val="26"/>
          <w:szCs w:val="26"/>
        </w:rPr>
        <w:t>TRC T</w:t>
      </w:r>
      <w:r>
        <w:rPr>
          <w:sz w:val="26"/>
          <w:szCs w:val="26"/>
        </w:rPr>
        <w:t xml:space="preserve">est approved by the Commission. </w:t>
      </w:r>
      <w:r w:rsidR="000819B2">
        <w:rPr>
          <w:sz w:val="26"/>
          <w:szCs w:val="26"/>
        </w:rPr>
        <w:t xml:space="preserve"> 66 Pa. C.S. § 2806.1(b)(1)(i)(I</w:t>
      </w:r>
      <w:r>
        <w:rPr>
          <w:sz w:val="26"/>
          <w:szCs w:val="26"/>
        </w:rPr>
        <w:t>).  In addition, t</w:t>
      </w:r>
      <w:r w:rsidR="00314205">
        <w:rPr>
          <w:sz w:val="26"/>
          <w:szCs w:val="26"/>
        </w:rPr>
        <w:t xml:space="preserve">he Commission’s EE&amp;C Program must include an analysis of the cost and benefit of each plan, in accordance with a </w:t>
      </w:r>
      <w:r w:rsidR="00270BFC">
        <w:rPr>
          <w:sz w:val="26"/>
          <w:szCs w:val="26"/>
        </w:rPr>
        <w:t>the TRC T</w:t>
      </w:r>
      <w:r w:rsidR="00314205">
        <w:rPr>
          <w:sz w:val="26"/>
          <w:szCs w:val="26"/>
        </w:rPr>
        <w:t>est approved by</w:t>
      </w:r>
      <w:r w:rsidR="009C5EAC">
        <w:rPr>
          <w:sz w:val="26"/>
          <w:szCs w:val="26"/>
        </w:rPr>
        <w:t xml:space="preserve"> the Commission.  66 Pa. C.S. § </w:t>
      </w:r>
      <w:r w:rsidR="00314205">
        <w:rPr>
          <w:sz w:val="26"/>
          <w:szCs w:val="26"/>
        </w:rPr>
        <w:t xml:space="preserve">2806.1(a)(3).   </w:t>
      </w:r>
    </w:p>
    <w:p w:rsidR="00A72E0E" w:rsidRDefault="00A72E0E" w:rsidP="005B1144">
      <w:pPr>
        <w:spacing w:line="360" w:lineRule="auto"/>
        <w:ind w:firstLine="1440"/>
        <w:rPr>
          <w:sz w:val="26"/>
          <w:szCs w:val="26"/>
        </w:rPr>
      </w:pPr>
    </w:p>
    <w:p w:rsidR="00A72E0E" w:rsidRPr="002B5CFA" w:rsidRDefault="00A72E0E" w:rsidP="00A72E0E">
      <w:pPr>
        <w:spacing w:line="360" w:lineRule="auto"/>
        <w:rPr>
          <w:sz w:val="26"/>
          <w:szCs w:val="26"/>
        </w:rPr>
      </w:pPr>
      <w:r w:rsidRPr="002B5CFA">
        <w:rPr>
          <w:sz w:val="26"/>
          <w:szCs w:val="26"/>
        </w:rPr>
        <w:tab/>
      </w:r>
      <w:r w:rsidRPr="002B5CFA">
        <w:rPr>
          <w:sz w:val="26"/>
          <w:szCs w:val="26"/>
        </w:rPr>
        <w:tab/>
        <w:t xml:space="preserve">In its </w:t>
      </w:r>
      <w:r w:rsidRPr="00DB666D">
        <w:rPr>
          <w:i/>
          <w:sz w:val="26"/>
          <w:szCs w:val="26"/>
        </w:rPr>
        <w:t>Implementation Order</w:t>
      </w:r>
      <w:r w:rsidRPr="002B5CFA">
        <w:rPr>
          <w:sz w:val="26"/>
          <w:szCs w:val="26"/>
        </w:rPr>
        <w:t xml:space="preserve">, the Commission addressed the </w:t>
      </w:r>
      <w:r w:rsidR="005640F0">
        <w:rPr>
          <w:sz w:val="26"/>
          <w:szCs w:val="26"/>
        </w:rPr>
        <w:t>TRC Test</w:t>
      </w:r>
      <w:r w:rsidRPr="002B5CFA">
        <w:rPr>
          <w:sz w:val="26"/>
          <w:szCs w:val="26"/>
        </w:rPr>
        <w:t xml:space="preserve"> and its role in the design of the EDC’s EE&amp;C plans as follows:</w:t>
      </w:r>
    </w:p>
    <w:p w:rsidR="00A72E0E" w:rsidRDefault="00A72E0E" w:rsidP="00A72E0E">
      <w:pPr>
        <w:pStyle w:val="p3"/>
        <w:widowControl/>
        <w:ind w:left="1440" w:right="1440" w:firstLine="720"/>
        <w:rPr>
          <w:sz w:val="26"/>
          <w:szCs w:val="26"/>
        </w:rPr>
      </w:pPr>
    </w:p>
    <w:p w:rsidR="00A72E0E" w:rsidRPr="002B5CFA" w:rsidRDefault="00A72E0E" w:rsidP="00A72E0E">
      <w:pPr>
        <w:pStyle w:val="p3"/>
        <w:widowControl/>
        <w:ind w:left="1440" w:right="1440"/>
        <w:rPr>
          <w:sz w:val="26"/>
          <w:szCs w:val="26"/>
        </w:rPr>
      </w:pPr>
      <w:r>
        <w:rPr>
          <w:sz w:val="26"/>
          <w:szCs w:val="26"/>
        </w:rPr>
        <w:t>T</w:t>
      </w:r>
      <w:r w:rsidRPr="002B5CFA">
        <w:rPr>
          <w:sz w:val="26"/>
          <w:szCs w:val="26"/>
        </w:rPr>
        <w:t xml:space="preserve">he Commission directs that EDCs evaluate the cost effectiveness of each of its energy efficiency or demand reduction programs using the TRC test to be set forth in the version of the </w:t>
      </w:r>
      <w:r w:rsidRPr="002B5CFA">
        <w:rPr>
          <w:i/>
          <w:sz w:val="26"/>
          <w:szCs w:val="26"/>
        </w:rPr>
        <w:t>California Manual</w:t>
      </w:r>
      <w:r w:rsidRPr="002B5CFA">
        <w:rPr>
          <w:sz w:val="26"/>
          <w:szCs w:val="26"/>
        </w:rPr>
        <w:t xml:space="preserve"> adopted by this Commission.  The TRC test will take into account the combined effects of a program on both participating and non</w:t>
      </w:r>
      <w:r w:rsidRPr="002B5CFA">
        <w:rPr>
          <w:sz w:val="26"/>
          <w:szCs w:val="26"/>
        </w:rPr>
        <w:noBreakHyphen/>
        <w:t xml:space="preserve">participating customers based on the costs incurred by the EDC and participating customers.  In addition, the Commission expects the benefits calculated in the TRC test will include the avoided supply costs, such as the reduction in transmission, distribution, generation and capacity costs valued at marginal cost for the periods when there is a consumption reduction.  The avoided supply costs should be </w:t>
      </w:r>
      <w:r w:rsidRPr="002B5CFA">
        <w:rPr>
          <w:sz w:val="26"/>
          <w:szCs w:val="26"/>
        </w:rPr>
        <w:lastRenderedPageBreak/>
        <w:t>calculated using net program savings, savings net of changes in energy use that would have happened in the absence of the program.  The persistence of savings over time should also be considered in the net savings.</w:t>
      </w:r>
    </w:p>
    <w:p w:rsidR="00A72E0E" w:rsidRPr="002B5CFA" w:rsidRDefault="00A72E0E" w:rsidP="00A72E0E">
      <w:pPr>
        <w:pStyle w:val="p3"/>
        <w:widowControl/>
        <w:ind w:left="1440" w:right="1440"/>
        <w:rPr>
          <w:sz w:val="26"/>
          <w:szCs w:val="26"/>
        </w:rPr>
      </w:pPr>
    </w:p>
    <w:p w:rsidR="00A72E0E" w:rsidRDefault="00A72E0E" w:rsidP="00A72E0E">
      <w:pPr>
        <w:pStyle w:val="p3"/>
        <w:widowControl/>
        <w:tabs>
          <w:tab w:val="clear" w:pos="204"/>
        </w:tabs>
        <w:ind w:left="1440" w:right="1440"/>
        <w:rPr>
          <w:sz w:val="26"/>
          <w:szCs w:val="26"/>
        </w:rPr>
      </w:pPr>
      <w:r w:rsidRPr="002B5CFA">
        <w:rPr>
          <w:sz w:val="26"/>
          <w:szCs w:val="26"/>
        </w:rPr>
        <w:t>The Commission further expects that the costs calculated in this test will include the program costs paid by the utility and the participants, plus the increase in supply costs for the periods in which consumption is increased.  Thus, for example, all equipment, installation, operation and maintenance costs, cost of removal (less salvage value), and administrative costs, regardless of who pays for them, should be included.</w:t>
      </w:r>
    </w:p>
    <w:p w:rsidR="00387EBF" w:rsidRDefault="00387EBF" w:rsidP="00A72E0E">
      <w:pPr>
        <w:pStyle w:val="p3"/>
        <w:widowControl/>
        <w:tabs>
          <w:tab w:val="clear" w:pos="204"/>
        </w:tabs>
        <w:ind w:left="1440" w:right="1440"/>
        <w:rPr>
          <w:sz w:val="26"/>
          <w:szCs w:val="26"/>
        </w:rPr>
      </w:pPr>
    </w:p>
    <w:p w:rsidR="00A72E0E" w:rsidRDefault="00A72E0E" w:rsidP="00A72E0E">
      <w:pPr>
        <w:pStyle w:val="p3"/>
        <w:widowControl/>
        <w:tabs>
          <w:tab w:val="clear" w:pos="204"/>
        </w:tabs>
        <w:ind w:left="1440" w:right="1440"/>
        <w:rPr>
          <w:sz w:val="26"/>
          <w:szCs w:val="26"/>
        </w:rPr>
      </w:pPr>
    </w:p>
    <w:p w:rsidR="00A72E0E" w:rsidRDefault="00A72E0E" w:rsidP="00A72E0E">
      <w:pPr>
        <w:pStyle w:val="p3"/>
        <w:widowControl/>
        <w:tabs>
          <w:tab w:val="clear" w:pos="204"/>
        </w:tabs>
        <w:spacing w:line="360" w:lineRule="auto"/>
        <w:rPr>
          <w:sz w:val="26"/>
          <w:szCs w:val="26"/>
        </w:rPr>
      </w:pPr>
      <w:r w:rsidRPr="002B5CFA">
        <w:rPr>
          <w:i/>
          <w:sz w:val="26"/>
          <w:szCs w:val="26"/>
        </w:rPr>
        <w:t>Implementation Order</w:t>
      </w:r>
      <w:r>
        <w:rPr>
          <w:sz w:val="26"/>
          <w:szCs w:val="26"/>
        </w:rPr>
        <w:t xml:space="preserve"> at 15.  </w:t>
      </w:r>
    </w:p>
    <w:p w:rsidR="00A72E0E" w:rsidRDefault="00A72E0E" w:rsidP="00A72E0E">
      <w:pPr>
        <w:pStyle w:val="p3"/>
        <w:widowControl/>
        <w:tabs>
          <w:tab w:val="clear" w:pos="204"/>
        </w:tabs>
        <w:spacing w:line="360" w:lineRule="auto"/>
        <w:rPr>
          <w:sz w:val="26"/>
          <w:szCs w:val="26"/>
        </w:rPr>
      </w:pPr>
    </w:p>
    <w:p w:rsidR="00A72E0E" w:rsidRDefault="00A72E0E" w:rsidP="00A72E0E">
      <w:pPr>
        <w:pStyle w:val="p3"/>
        <w:widowControl/>
        <w:tabs>
          <w:tab w:val="clear" w:pos="204"/>
        </w:tabs>
        <w:spacing w:line="360" w:lineRule="auto"/>
        <w:rPr>
          <w:sz w:val="26"/>
          <w:szCs w:val="26"/>
        </w:rPr>
      </w:pPr>
      <w:r>
        <w:rPr>
          <w:sz w:val="26"/>
          <w:szCs w:val="26"/>
        </w:rPr>
        <w:tab/>
      </w:r>
      <w:r>
        <w:rPr>
          <w:sz w:val="26"/>
          <w:szCs w:val="26"/>
        </w:rPr>
        <w:tab/>
        <w:t xml:space="preserve">The particular requirements and testing constraints for the EDCs’ application of the </w:t>
      </w:r>
      <w:r w:rsidR="005640F0">
        <w:rPr>
          <w:sz w:val="26"/>
          <w:szCs w:val="26"/>
        </w:rPr>
        <w:t>TRC Test</w:t>
      </w:r>
      <w:r>
        <w:rPr>
          <w:sz w:val="26"/>
          <w:szCs w:val="26"/>
        </w:rPr>
        <w:t xml:space="preserve"> to their respective EE&amp;C Plans are set forth in the Commission’s </w:t>
      </w:r>
      <w:r w:rsidR="00CE335D">
        <w:rPr>
          <w:i/>
          <w:sz w:val="26"/>
          <w:szCs w:val="26"/>
        </w:rPr>
        <w:t>TRC Test Order</w:t>
      </w:r>
      <w:r>
        <w:rPr>
          <w:i/>
          <w:sz w:val="26"/>
          <w:szCs w:val="26"/>
        </w:rPr>
        <w:t>.</w:t>
      </w:r>
      <w:r>
        <w:rPr>
          <w:sz w:val="26"/>
          <w:szCs w:val="26"/>
        </w:rPr>
        <w:t xml:space="preserve">  Also, it must be verified that the FirstEnergy Companies’ EE&amp;C Plans pass the </w:t>
      </w:r>
      <w:r w:rsidR="005640F0">
        <w:rPr>
          <w:sz w:val="26"/>
          <w:szCs w:val="26"/>
        </w:rPr>
        <w:t>TRC Test</w:t>
      </w:r>
      <w:r>
        <w:rPr>
          <w:sz w:val="26"/>
          <w:szCs w:val="26"/>
        </w:rPr>
        <w:t xml:space="preserve"> with a total plan cost benefit ratio greater than 1.0.  </w:t>
      </w:r>
      <w:r>
        <w:rPr>
          <w:i/>
          <w:sz w:val="26"/>
          <w:szCs w:val="26"/>
        </w:rPr>
        <w:t xml:space="preserve">Implementation Order </w:t>
      </w:r>
      <w:r>
        <w:rPr>
          <w:sz w:val="26"/>
          <w:szCs w:val="26"/>
        </w:rPr>
        <w:t xml:space="preserve">at 16. </w:t>
      </w:r>
    </w:p>
    <w:p w:rsidR="00314205" w:rsidRDefault="00314205" w:rsidP="005B1144">
      <w:pPr>
        <w:spacing w:line="360" w:lineRule="auto"/>
        <w:ind w:firstLine="1440"/>
        <w:rPr>
          <w:sz w:val="26"/>
          <w:szCs w:val="26"/>
        </w:rPr>
      </w:pPr>
    </w:p>
    <w:p w:rsidR="008E7C8E" w:rsidRPr="008E7C8E" w:rsidRDefault="008E7C8E" w:rsidP="00940B59">
      <w:pPr>
        <w:pStyle w:val="Heading4"/>
      </w:pPr>
      <w:bookmarkStart w:id="155" w:name="_Toc242516292"/>
      <w:bookmarkStart w:id="156" w:name="_Toc244499348"/>
      <w:r>
        <w:t>a.</w:t>
      </w:r>
      <w:r w:rsidR="00B6382E">
        <w:t xml:space="preserve">  </w:t>
      </w:r>
      <w:r w:rsidR="006F4B78">
        <w:tab/>
      </w:r>
      <w:r w:rsidRPr="008E7C8E">
        <w:t>Positions of the Parties</w:t>
      </w:r>
      <w:bookmarkEnd w:id="155"/>
      <w:bookmarkEnd w:id="156"/>
    </w:p>
    <w:p w:rsidR="00021493" w:rsidRDefault="00021493" w:rsidP="00021493">
      <w:pPr>
        <w:spacing w:line="360" w:lineRule="auto"/>
        <w:ind w:firstLine="1440"/>
        <w:rPr>
          <w:sz w:val="26"/>
          <w:szCs w:val="26"/>
        </w:rPr>
      </w:pPr>
    </w:p>
    <w:p w:rsidR="00D12387" w:rsidRPr="002B5CFA" w:rsidRDefault="00D12387" w:rsidP="00D12387">
      <w:pPr>
        <w:spacing w:line="360" w:lineRule="auto"/>
        <w:ind w:firstLine="1440"/>
        <w:rPr>
          <w:sz w:val="26"/>
          <w:szCs w:val="26"/>
        </w:rPr>
      </w:pPr>
      <w:r>
        <w:rPr>
          <w:sz w:val="26"/>
          <w:szCs w:val="26"/>
        </w:rPr>
        <w:t>The Companies have included cost effectiveness/cost benefit analyses in each of their EE&amp;C Plans</w:t>
      </w:r>
      <w:r w:rsidR="00636C5A">
        <w:rPr>
          <w:sz w:val="26"/>
          <w:szCs w:val="26"/>
        </w:rPr>
        <w:t>.</w:t>
      </w:r>
      <w:r>
        <w:rPr>
          <w:sz w:val="26"/>
          <w:szCs w:val="26"/>
        </w:rPr>
        <w:t xml:space="preserve">  The analyses include explanations and demonstrations of how their respective Plans will be cost effective as defined by the </w:t>
      </w:r>
      <w:r w:rsidR="005640F0">
        <w:rPr>
          <w:sz w:val="26"/>
          <w:szCs w:val="26"/>
        </w:rPr>
        <w:t>TRC Test</w:t>
      </w:r>
      <w:r>
        <w:rPr>
          <w:sz w:val="26"/>
          <w:szCs w:val="26"/>
        </w:rPr>
        <w:t>.  Each Plan includes a description of the methodology employed as well as tables detailing the cost-effectiveness of the specific programs in each plan by customer class and for each Plan as a whole.  FirstEnergy’s September 21, 2009 Plans at § 8.1.  No P</w:t>
      </w:r>
      <w:r w:rsidRPr="002B5CFA">
        <w:rPr>
          <w:sz w:val="26"/>
          <w:szCs w:val="26"/>
        </w:rPr>
        <w:t xml:space="preserve">arties </w:t>
      </w:r>
      <w:r w:rsidR="00454B73">
        <w:rPr>
          <w:sz w:val="26"/>
          <w:szCs w:val="26"/>
        </w:rPr>
        <w:t xml:space="preserve">challenged </w:t>
      </w:r>
      <w:r w:rsidRPr="002B5CFA">
        <w:rPr>
          <w:sz w:val="26"/>
          <w:szCs w:val="26"/>
        </w:rPr>
        <w:t xml:space="preserve">the overall TRC or disputed the </w:t>
      </w:r>
      <w:r>
        <w:rPr>
          <w:sz w:val="26"/>
          <w:szCs w:val="26"/>
        </w:rPr>
        <w:t xml:space="preserve">Companies’ </w:t>
      </w:r>
      <w:r w:rsidRPr="002B5CFA">
        <w:rPr>
          <w:sz w:val="26"/>
          <w:szCs w:val="26"/>
        </w:rPr>
        <w:t>analys</w:t>
      </w:r>
      <w:r>
        <w:rPr>
          <w:sz w:val="26"/>
          <w:szCs w:val="26"/>
        </w:rPr>
        <w:t>e</w:t>
      </w:r>
      <w:r w:rsidRPr="002B5CFA">
        <w:rPr>
          <w:sz w:val="26"/>
          <w:szCs w:val="26"/>
        </w:rPr>
        <w:t xml:space="preserve">s.  </w:t>
      </w:r>
    </w:p>
    <w:p w:rsidR="00A72E0E" w:rsidRPr="00021493" w:rsidRDefault="00A72E0E" w:rsidP="00F8040A">
      <w:pPr>
        <w:spacing w:line="360" w:lineRule="auto"/>
        <w:ind w:firstLine="1440"/>
        <w:rPr>
          <w:sz w:val="26"/>
          <w:szCs w:val="26"/>
        </w:rPr>
      </w:pPr>
    </w:p>
    <w:p w:rsidR="008E7C8E" w:rsidRPr="008E7C8E" w:rsidRDefault="008E7C8E" w:rsidP="00940B59">
      <w:pPr>
        <w:pStyle w:val="Heading4"/>
      </w:pPr>
      <w:bookmarkStart w:id="157" w:name="_Toc242516293"/>
      <w:bookmarkStart w:id="158" w:name="_Toc244499349"/>
      <w:r>
        <w:lastRenderedPageBreak/>
        <w:t>b.</w:t>
      </w:r>
      <w:r w:rsidR="00B6382E">
        <w:t xml:space="preserve">  </w:t>
      </w:r>
      <w:r w:rsidR="006F4B78">
        <w:tab/>
      </w:r>
      <w:r w:rsidRPr="008E7C8E">
        <w:t>Disposition</w:t>
      </w:r>
      <w:bookmarkEnd w:id="157"/>
      <w:bookmarkEnd w:id="158"/>
    </w:p>
    <w:p w:rsidR="008E7C8E" w:rsidRDefault="008E7C8E" w:rsidP="005B1144">
      <w:pPr>
        <w:spacing w:line="360" w:lineRule="auto"/>
        <w:ind w:firstLine="1440"/>
        <w:rPr>
          <w:sz w:val="26"/>
          <w:szCs w:val="26"/>
        </w:rPr>
      </w:pPr>
    </w:p>
    <w:p w:rsidR="00621738" w:rsidRDefault="00621738" w:rsidP="00621738">
      <w:pPr>
        <w:spacing w:line="360" w:lineRule="auto"/>
        <w:rPr>
          <w:sz w:val="26"/>
          <w:szCs w:val="26"/>
        </w:rPr>
      </w:pPr>
      <w:r w:rsidRPr="002B5CFA">
        <w:rPr>
          <w:sz w:val="26"/>
          <w:szCs w:val="26"/>
        </w:rPr>
        <w:tab/>
      </w:r>
      <w:r>
        <w:rPr>
          <w:sz w:val="26"/>
          <w:szCs w:val="26"/>
        </w:rPr>
        <w:tab/>
        <w:t xml:space="preserve">The </w:t>
      </w:r>
      <w:r w:rsidRPr="002B5CFA">
        <w:rPr>
          <w:sz w:val="26"/>
          <w:szCs w:val="26"/>
        </w:rPr>
        <w:t xml:space="preserve">FirstEnergy </w:t>
      </w:r>
      <w:r>
        <w:rPr>
          <w:sz w:val="26"/>
          <w:szCs w:val="26"/>
        </w:rPr>
        <w:t xml:space="preserve">Companies </w:t>
      </w:r>
      <w:r w:rsidRPr="002B5CFA">
        <w:rPr>
          <w:sz w:val="26"/>
          <w:szCs w:val="26"/>
        </w:rPr>
        <w:t>used the Commission</w:t>
      </w:r>
      <w:r>
        <w:rPr>
          <w:sz w:val="26"/>
          <w:szCs w:val="26"/>
        </w:rPr>
        <w:t>’s</w:t>
      </w:r>
      <w:r w:rsidRPr="00A37CBA">
        <w:rPr>
          <w:i/>
          <w:sz w:val="26"/>
          <w:szCs w:val="26"/>
        </w:rPr>
        <w:t xml:space="preserve"> </w:t>
      </w:r>
      <w:r w:rsidR="00CE335D">
        <w:rPr>
          <w:i/>
          <w:sz w:val="26"/>
          <w:szCs w:val="26"/>
        </w:rPr>
        <w:t>TRC Test Order</w:t>
      </w:r>
      <w:r w:rsidRPr="002B5CFA">
        <w:rPr>
          <w:sz w:val="26"/>
          <w:szCs w:val="26"/>
        </w:rPr>
        <w:t xml:space="preserve"> </w:t>
      </w:r>
      <w:r>
        <w:rPr>
          <w:sz w:val="26"/>
          <w:szCs w:val="26"/>
        </w:rPr>
        <w:t xml:space="preserve">as a guide </w:t>
      </w:r>
      <w:r w:rsidRPr="002B5CFA">
        <w:rPr>
          <w:sz w:val="26"/>
          <w:szCs w:val="26"/>
        </w:rPr>
        <w:t xml:space="preserve">to their cost effectiveness calculations.  </w:t>
      </w:r>
      <w:r>
        <w:rPr>
          <w:sz w:val="26"/>
          <w:szCs w:val="26"/>
        </w:rPr>
        <w:t>The Companies made o</w:t>
      </w:r>
      <w:r w:rsidRPr="002B5CFA">
        <w:rPr>
          <w:sz w:val="26"/>
          <w:szCs w:val="26"/>
        </w:rPr>
        <w:t xml:space="preserve">ne slight change </w:t>
      </w:r>
      <w:r>
        <w:rPr>
          <w:sz w:val="26"/>
          <w:szCs w:val="26"/>
        </w:rPr>
        <w:t>in that they used</w:t>
      </w:r>
      <w:r w:rsidRPr="002B5CFA">
        <w:rPr>
          <w:sz w:val="26"/>
          <w:szCs w:val="26"/>
        </w:rPr>
        <w:t xml:space="preserve"> a</w:t>
      </w:r>
      <w:r w:rsidR="007B7460">
        <w:rPr>
          <w:sz w:val="26"/>
          <w:szCs w:val="26"/>
        </w:rPr>
        <w:t xml:space="preserve"> moving average rather than a twelve-</w:t>
      </w:r>
      <w:r w:rsidRPr="002B5CFA">
        <w:rPr>
          <w:sz w:val="26"/>
          <w:szCs w:val="26"/>
        </w:rPr>
        <w:t>month strip price for the PJM</w:t>
      </w:r>
      <w:r>
        <w:rPr>
          <w:sz w:val="26"/>
          <w:szCs w:val="26"/>
        </w:rPr>
        <w:t xml:space="preserve"> futures prices traded on NYMEX.  However,</w:t>
      </w:r>
      <w:r w:rsidRPr="002B5CFA">
        <w:rPr>
          <w:sz w:val="26"/>
          <w:szCs w:val="26"/>
        </w:rPr>
        <w:t xml:space="preserve"> this discrepancy causes no significant difference in the calculation of avoided cost.  </w:t>
      </w:r>
      <w:r w:rsidR="00B732FA" w:rsidRPr="00187E1C">
        <w:rPr>
          <w:sz w:val="26"/>
          <w:szCs w:val="26"/>
        </w:rPr>
        <w:t>Met</w:t>
      </w:r>
      <w:r w:rsidR="00B732FA">
        <w:rPr>
          <w:sz w:val="26"/>
          <w:szCs w:val="26"/>
        </w:rPr>
        <w:t xml:space="preserve"> </w:t>
      </w:r>
      <w:r w:rsidR="00B732FA" w:rsidRPr="00187E1C">
        <w:rPr>
          <w:sz w:val="26"/>
          <w:szCs w:val="26"/>
        </w:rPr>
        <w:t>Ed</w:t>
      </w:r>
      <w:r w:rsidR="00B732FA">
        <w:rPr>
          <w:sz w:val="26"/>
          <w:szCs w:val="26"/>
        </w:rPr>
        <w:t>’s</w:t>
      </w:r>
      <w:r w:rsidR="00B732FA" w:rsidRPr="00187E1C">
        <w:rPr>
          <w:sz w:val="26"/>
          <w:szCs w:val="26"/>
        </w:rPr>
        <w:t xml:space="preserve"> </w:t>
      </w:r>
      <w:r w:rsidR="00B732FA">
        <w:rPr>
          <w:sz w:val="26"/>
          <w:szCs w:val="26"/>
        </w:rPr>
        <w:t xml:space="preserve">September 21, 2009 </w:t>
      </w:r>
      <w:r w:rsidR="00B732FA" w:rsidRPr="00187E1C">
        <w:rPr>
          <w:sz w:val="26"/>
          <w:szCs w:val="26"/>
        </w:rPr>
        <w:t xml:space="preserve">Plan </w:t>
      </w:r>
      <w:r w:rsidR="00D4599A">
        <w:rPr>
          <w:sz w:val="26"/>
          <w:szCs w:val="26"/>
        </w:rPr>
        <w:t>at 114</w:t>
      </w:r>
      <w:r w:rsidR="00D4599A">
        <w:rPr>
          <w:sz w:val="26"/>
          <w:szCs w:val="26"/>
        </w:rPr>
        <w:noBreakHyphen/>
      </w:r>
      <w:r w:rsidR="00B732FA">
        <w:rPr>
          <w:sz w:val="26"/>
          <w:szCs w:val="26"/>
        </w:rPr>
        <w:t>115;</w:t>
      </w:r>
      <w:r w:rsidR="00B732FA" w:rsidRPr="00187E1C">
        <w:rPr>
          <w:sz w:val="26"/>
          <w:szCs w:val="26"/>
        </w:rPr>
        <w:t xml:space="preserve"> Penelec</w:t>
      </w:r>
      <w:r w:rsidR="00B732FA">
        <w:rPr>
          <w:sz w:val="26"/>
          <w:szCs w:val="26"/>
        </w:rPr>
        <w:t xml:space="preserve">’s September 21, 2009 </w:t>
      </w:r>
      <w:r w:rsidR="00B732FA" w:rsidRPr="00187E1C">
        <w:rPr>
          <w:sz w:val="26"/>
          <w:szCs w:val="26"/>
        </w:rPr>
        <w:t xml:space="preserve">Plan </w:t>
      </w:r>
      <w:r w:rsidR="00B732FA">
        <w:rPr>
          <w:sz w:val="26"/>
          <w:szCs w:val="26"/>
        </w:rPr>
        <w:t>at 111-112;</w:t>
      </w:r>
      <w:r w:rsidR="00B732FA" w:rsidRPr="00187E1C">
        <w:rPr>
          <w:sz w:val="26"/>
          <w:szCs w:val="26"/>
        </w:rPr>
        <w:t xml:space="preserve"> </w:t>
      </w:r>
      <w:r w:rsidR="00B732FA">
        <w:rPr>
          <w:sz w:val="26"/>
          <w:szCs w:val="26"/>
        </w:rPr>
        <w:t>Penn Power’s</w:t>
      </w:r>
      <w:r w:rsidR="00D4599A">
        <w:rPr>
          <w:sz w:val="26"/>
          <w:szCs w:val="26"/>
        </w:rPr>
        <w:t xml:space="preserve"> September </w:t>
      </w:r>
      <w:r w:rsidR="00B732FA">
        <w:rPr>
          <w:sz w:val="26"/>
          <w:szCs w:val="26"/>
        </w:rPr>
        <w:t>21, 2009 Plan at</w:t>
      </w:r>
      <w:r w:rsidR="00B732FA" w:rsidRPr="00187E1C">
        <w:rPr>
          <w:sz w:val="26"/>
          <w:szCs w:val="26"/>
        </w:rPr>
        <w:t xml:space="preserve"> </w:t>
      </w:r>
      <w:r w:rsidR="00B732FA">
        <w:rPr>
          <w:sz w:val="26"/>
          <w:szCs w:val="26"/>
        </w:rPr>
        <w:t xml:space="preserve">107-108.  </w:t>
      </w:r>
      <w:r w:rsidRPr="002B5CFA">
        <w:rPr>
          <w:sz w:val="26"/>
          <w:szCs w:val="26"/>
        </w:rPr>
        <w:t xml:space="preserve">The calculations in the </w:t>
      </w:r>
      <w:r w:rsidR="007B7460">
        <w:rPr>
          <w:sz w:val="26"/>
          <w:szCs w:val="26"/>
        </w:rPr>
        <w:t>P</w:t>
      </w:r>
      <w:r w:rsidRPr="002B5CFA">
        <w:rPr>
          <w:sz w:val="26"/>
          <w:szCs w:val="26"/>
        </w:rPr>
        <w:t>lans show cost-benefit ratios for Met</w:t>
      </w:r>
      <w:r w:rsidR="00FD03CF">
        <w:rPr>
          <w:sz w:val="26"/>
          <w:szCs w:val="26"/>
        </w:rPr>
        <w:t xml:space="preserve"> </w:t>
      </w:r>
      <w:r w:rsidRPr="002B5CFA">
        <w:rPr>
          <w:sz w:val="26"/>
          <w:szCs w:val="26"/>
        </w:rPr>
        <w:t>Ed, Penelec, and Penn Power of 2.40, 2.32, and 2.08</w:t>
      </w:r>
      <w:r w:rsidR="00314A85">
        <w:rPr>
          <w:sz w:val="26"/>
          <w:szCs w:val="26"/>
        </w:rPr>
        <w:t>,</w:t>
      </w:r>
      <w:r w:rsidRPr="002B5CFA">
        <w:rPr>
          <w:sz w:val="26"/>
          <w:szCs w:val="26"/>
        </w:rPr>
        <w:t xml:space="preserve"> respectively.  </w:t>
      </w:r>
      <w:r w:rsidR="00B732FA" w:rsidRPr="00C41138">
        <w:rPr>
          <w:sz w:val="26"/>
          <w:szCs w:val="26"/>
        </w:rPr>
        <w:t>Met</w:t>
      </w:r>
      <w:r w:rsidR="00FD03CF">
        <w:rPr>
          <w:sz w:val="26"/>
          <w:szCs w:val="26"/>
        </w:rPr>
        <w:t xml:space="preserve"> </w:t>
      </w:r>
      <w:r w:rsidR="00B732FA" w:rsidRPr="00C41138">
        <w:rPr>
          <w:sz w:val="26"/>
          <w:szCs w:val="26"/>
        </w:rPr>
        <w:t>Ed</w:t>
      </w:r>
      <w:r w:rsidR="00B732FA">
        <w:rPr>
          <w:sz w:val="26"/>
          <w:szCs w:val="26"/>
        </w:rPr>
        <w:t>’s September</w:t>
      </w:r>
      <w:r w:rsidR="00D4599A">
        <w:rPr>
          <w:sz w:val="26"/>
          <w:szCs w:val="26"/>
        </w:rPr>
        <w:t> </w:t>
      </w:r>
      <w:r w:rsidR="00B732FA">
        <w:rPr>
          <w:sz w:val="26"/>
          <w:szCs w:val="26"/>
        </w:rPr>
        <w:t xml:space="preserve">21,2009 </w:t>
      </w:r>
      <w:r w:rsidR="00B732FA" w:rsidRPr="00C41138">
        <w:rPr>
          <w:sz w:val="26"/>
          <w:szCs w:val="26"/>
        </w:rPr>
        <w:t>Plan at</w:t>
      </w:r>
      <w:r w:rsidR="00B732FA">
        <w:rPr>
          <w:sz w:val="26"/>
          <w:szCs w:val="26"/>
        </w:rPr>
        <w:t xml:space="preserve"> 19;</w:t>
      </w:r>
      <w:r w:rsidR="00B732FA" w:rsidRPr="00C41138">
        <w:rPr>
          <w:sz w:val="26"/>
          <w:szCs w:val="26"/>
        </w:rPr>
        <w:t xml:space="preserve"> Penelec</w:t>
      </w:r>
      <w:r w:rsidR="00390048">
        <w:rPr>
          <w:sz w:val="26"/>
          <w:szCs w:val="26"/>
        </w:rPr>
        <w:t>’s September</w:t>
      </w:r>
      <w:r w:rsidR="00390048" w:rsidRPr="00C41138">
        <w:rPr>
          <w:sz w:val="26"/>
          <w:szCs w:val="26"/>
        </w:rPr>
        <w:t xml:space="preserve"> </w:t>
      </w:r>
      <w:r w:rsidR="00390048">
        <w:rPr>
          <w:sz w:val="26"/>
          <w:szCs w:val="26"/>
        </w:rPr>
        <w:t xml:space="preserve">21, 2009 </w:t>
      </w:r>
      <w:r w:rsidR="00B732FA" w:rsidRPr="00C41138">
        <w:rPr>
          <w:sz w:val="26"/>
          <w:szCs w:val="26"/>
        </w:rPr>
        <w:t>Plan at</w:t>
      </w:r>
      <w:r w:rsidR="00B732FA">
        <w:rPr>
          <w:sz w:val="26"/>
          <w:szCs w:val="26"/>
        </w:rPr>
        <w:t xml:space="preserve"> 18;</w:t>
      </w:r>
      <w:r w:rsidR="00B732FA" w:rsidRPr="00C41138">
        <w:rPr>
          <w:sz w:val="26"/>
          <w:szCs w:val="26"/>
        </w:rPr>
        <w:t xml:space="preserve"> Penn Power</w:t>
      </w:r>
      <w:r w:rsidR="00390048">
        <w:rPr>
          <w:sz w:val="26"/>
          <w:szCs w:val="26"/>
        </w:rPr>
        <w:t>’s September</w:t>
      </w:r>
      <w:r w:rsidR="00D4599A">
        <w:rPr>
          <w:sz w:val="26"/>
          <w:szCs w:val="26"/>
        </w:rPr>
        <w:t> </w:t>
      </w:r>
      <w:r w:rsidR="00390048">
        <w:rPr>
          <w:sz w:val="26"/>
          <w:szCs w:val="26"/>
        </w:rPr>
        <w:t>21, 2009</w:t>
      </w:r>
      <w:r w:rsidR="00B732FA" w:rsidRPr="00C41138">
        <w:rPr>
          <w:sz w:val="26"/>
          <w:szCs w:val="26"/>
        </w:rPr>
        <w:t xml:space="preserve"> Plan at 18</w:t>
      </w:r>
      <w:r w:rsidR="00B732FA">
        <w:rPr>
          <w:sz w:val="26"/>
          <w:szCs w:val="26"/>
        </w:rPr>
        <w:t xml:space="preserve">.  </w:t>
      </w:r>
      <w:r w:rsidRPr="002B5CFA">
        <w:rPr>
          <w:sz w:val="26"/>
          <w:szCs w:val="26"/>
        </w:rPr>
        <w:t xml:space="preserve">As such, </w:t>
      </w:r>
      <w:r>
        <w:rPr>
          <w:sz w:val="26"/>
          <w:szCs w:val="26"/>
        </w:rPr>
        <w:t>we conclude that</w:t>
      </w:r>
      <w:r w:rsidR="00B602C5">
        <w:rPr>
          <w:sz w:val="26"/>
          <w:szCs w:val="26"/>
        </w:rPr>
        <w:t xml:space="preserve"> </w:t>
      </w:r>
      <w:r w:rsidR="007D314C">
        <w:rPr>
          <w:sz w:val="26"/>
          <w:szCs w:val="26"/>
        </w:rPr>
        <w:t>FirstEnergy</w:t>
      </w:r>
      <w:r w:rsidRPr="002B5CFA">
        <w:rPr>
          <w:sz w:val="26"/>
          <w:szCs w:val="26"/>
        </w:rPr>
        <w:t>’s cost effectiveness tests should be accepted.</w:t>
      </w:r>
      <w:r>
        <w:rPr>
          <w:sz w:val="26"/>
          <w:szCs w:val="26"/>
        </w:rPr>
        <w:t xml:space="preserve">  </w:t>
      </w:r>
    </w:p>
    <w:p w:rsidR="00621738" w:rsidRDefault="00621738" w:rsidP="00621738">
      <w:pPr>
        <w:spacing w:line="360" w:lineRule="auto"/>
        <w:rPr>
          <w:sz w:val="26"/>
          <w:szCs w:val="26"/>
        </w:rPr>
      </w:pPr>
    </w:p>
    <w:p w:rsidR="00621738" w:rsidRPr="002B5CFA" w:rsidRDefault="00621738" w:rsidP="00621738">
      <w:pPr>
        <w:spacing w:line="360" w:lineRule="auto"/>
        <w:rPr>
          <w:sz w:val="26"/>
          <w:szCs w:val="26"/>
        </w:rPr>
      </w:pPr>
      <w:r>
        <w:rPr>
          <w:sz w:val="26"/>
          <w:szCs w:val="26"/>
        </w:rPr>
        <w:tab/>
      </w:r>
      <w:r>
        <w:rPr>
          <w:sz w:val="26"/>
          <w:szCs w:val="26"/>
        </w:rPr>
        <w:tab/>
      </w:r>
      <w:r w:rsidRPr="002B5CFA">
        <w:rPr>
          <w:sz w:val="26"/>
          <w:szCs w:val="26"/>
        </w:rPr>
        <w:t>The creation of the cost effectiveness analyses using the Commission</w:t>
      </w:r>
      <w:r>
        <w:rPr>
          <w:sz w:val="26"/>
          <w:szCs w:val="26"/>
        </w:rPr>
        <w:t>-</w:t>
      </w:r>
      <w:r w:rsidRPr="002B5CFA">
        <w:rPr>
          <w:sz w:val="26"/>
          <w:szCs w:val="26"/>
        </w:rPr>
        <w:t xml:space="preserve">approved TRC </w:t>
      </w:r>
      <w:r w:rsidR="000C1912">
        <w:rPr>
          <w:sz w:val="26"/>
          <w:szCs w:val="26"/>
        </w:rPr>
        <w:t xml:space="preserve">Test </w:t>
      </w:r>
      <w:r w:rsidRPr="002B5CFA">
        <w:rPr>
          <w:sz w:val="26"/>
          <w:szCs w:val="26"/>
        </w:rPr>
        <w:t xml:space="preserve">required the use of many assumptions regarding current and future energy prices.  Given that such forecasting is very assumption dependent, the intention of the </w:t>
      </w:r>
      <w:r w:rsidR="00CE335D">
        <w:rPr>
          <w:i/>
          <w:sz w:val="26"/>
          <w:szCs w:val="26"/>
        </w:rPr>
        <w:t>TRC Test Order</w:t>
      </w:r>
      <w:r w:rsidR="000C1912">
        <w:rPr>
          <w:sz w:val="26"/>
          <w:szCs w:val="26"/>
        </w:rPr>
        <w:t xml:space="preserve"> </w:t>
      </w:r>
      <w:r w:rsidRPr="002B5CFA">
        <w:rPr>
          <w:sz w:val="26"/>
          <w:szCs w:val="26"/>
        </w:rPr>
        <w:t xml:space="preserve">was to ensure that all EDCs were using the same basic methodology to calculate the costs and benefits of their EE&amp;C plans </w:t>
      </w:r>
      <w:r>
        <w:rPr>
          <w:sz w:val="26"/>
          <w:szCs w:val="26"/>
        </w:rPr>
        <w:t xml:space="preserve">in order </w:t>
      </w:r>
      <w:r w:rsidRPr="002B5CFA">
        <w:rPr>
          <w:sz w:val="26"/>
          <w:szCs w:val="26"/>
        </w:rPr>
        <w:t xml:space="preserve">to eliminate potential discrepancies in calculations across companies.  </w:t>
      </w:r>
      <w:r w:rsidR="000C1912">
        <w:rPr>
          <w:sz w:val="26"/>
          <w:szCs w:val="26"/>
        </w:rPr>
        <w:t xml:space="preserve">As stated previously, the </w:t>
      </w:r>
      <w:r>
        <w:rPr>
          <w:sz w:val="26"/>
          <w:szCs w:val="26"/>
        </w:rPr>
        <w:t xml:space="preserve">Companies </w:t>
      </w:r>
      <w:r w:rsidRPr="002B5CFA">
        <w:rPr>
          <w:sz w:val="26"/>
          <w:szCs w:val="26"/>
        </w:rPr>
        <w:t xml:space="preserve">used marginal deviations from the </w:t>
      </w:r>
      <w:r w:rsidR="00CE335D">
        <w:rPr>
          <w:i/>
          <w:sz w:val="26"/>
          <w:szCs w:val="26"/>
        </w:rPr>
        <w:t>TRC Test Order</w:t>
      </w:r>
      <w:r w:rsidRPr="002B5CFA">
        <w:rPr>
          <w:sz w:val="26"/>
          <w:szCs w:val="26"/>
        </w:rPr>
        <w:t xml:space="preserve"> methodology to more accurately reflect the circumstances affecting their particular plans.  </w:t>
      </w:r>
      <w:r w:rsidR="000C1912">
        <w:rPr>
          <w:sz w:val="26"/>
          <w:szCs w:val="26"/>
        </w:rPr>
        <w:t>S</w:t>
      </w:r>
      <w:r>
        <w:rPr>
          <w:sz w:val="26"/>
          <w:szCs w:val="26"/>
        </w:rPr>
        <w:t>ince</w:t>
      </w:r>
      <w:r w:rsidRPr="002B5CFA">
        <w:rPr>
          <w:sz w:val="26"/>
          <w:szCs w:val="26"/>
        </w:rPr>
        <w:t xml:space="preserve"> these deviations did not lead to material differences in the resulting cost effectiveness analysis, </w:t>
      </w:r>
      <w:r>
        <w:rPr>
          <w:sz w:val="26"/>
          <w:szCs w:val="26"/>
        </w:rPr>
        <w:t>we find that the TRC analyses in the Companies’</w:t>
      </w:r>
      <w:r w:rsidRPr="002B5CFA">
        <w:rPr>
          <w:sz w:val="26"/>
          <w:szCs w:val="26"/>
        </w:rPr>
        <w:t xml:space="preserve"> </w:t>
      </w:r>
      <w:r>
        <w:rPr>
          <w:sz w:val="26"/>
          <w:szCs w:val="26"/>
        </w:rPr>
        <w:t>P</w:t>
      </w:r>
      <w:r w:rsidRPr="002B5CFA">
        <w:rPr>
          <w:sz w:val="26"/>
          <w:szCs w:val="26"/>
        </w:rPr>
        <w:t xml:space="preserve">lans should be approved. </w:t>
      </w:r>
      <w:r>
        <w:rPr>
          <w:sz w:val="26"/>
          <w:szCs w:val="26"/>
        </w:rPr>
        <w:t xml:space="preserve"> </w:t>
      </w:r>
      <w:r w:rsidRPr="002B5CFA">
        <w:rPr>
          <w:sz w:val="26"/>
          <w:szCs w:val="26"/>
        </w:rPr>
        <w:t xml:space="preserve"> Furthermore, any such differences may be resolved by </w:t>
      </w:r>
      <w:r>
        <w:rPr>
          <w:sz w:val="26"/>
          <w:szCs w:val="26"/>
        </w:rPr>
        <w:t>the</w:t>
      </w:r>
      <w:r w:rsidRPr="002B5CFA">
        <w:rPr>
          <w:sz w:val="26"/>
          <w:szCs w:val="26"/>
        </w:rPr>
        <w:t xml:space="preserve"> </w:t>
      </w:r>
      <w:r>
        <w:rPr>
          <w:sz w:val="26"/>
          <w:szCs w:val="26"/>
        </w:rPr>
        <w:t>S</w:t>
      </w:r>
      <w:r w:rsidRPr="002B5CFA">
        <w:rPr>
          <w:sz w:val="26"/>
          <w:szCs w:val="26"/>
        </w:rPr>
        <w:t xml:space="preserve">takeholder </w:t>
      </w:r>
      <w:r>
        <w:rPr>
          <w:sz w:val="26"/>
          <w:szCs w:val="26"/>
        </w:rPr>
        <w:t>G</w:t>
      </w:r>
      <w:r w:rsidRPr="002B5CFA">
        <w:rPr>
          <w:sz w:val="26"/>
          <w:szCs w:val="26"/>
        </w:rPr>
        <w:t xml:space="preserve">roup as prescribed by the </w:t>
      </w:r>
      <w:r w:rsidR="00CE335D">
        <w:rPr>
          <w:i/>
          <w:sz w:val="26"/>
          <w:szCs w:val="26"/>
        </w:rPr>
        <w:t>TRC Test Order</w:t>
      </w:r>
      <w:r w:rsidRPr="002B5CFA">
        <w:rPr>
          <w:sz w:val="26"/>
          <w:szCs w:val="26"/>
        </w:rPr>
        <w:t>:</w:t>
      </w:r>
    </w:p>
    <w:p w:rsidR="00621738" w:rsidRDefault="00621738" w:rsidP="00621738">
      <w:pPr>
        <w:pStyle w:val="p3"/>
        <w:widowControl/>
        <w:tabs>
          <w:tab w:val="clear" w:pos="204"/>
        </w:tabs>
        <w:spacing w:line="360" w:lineRule="auto"/>
        <w:rPr>
          <w:bCs/>
          <w:sz w:val="26"/>
          <w:szCs w:val="26"/>
        </w:rPr>
      </w:pPr>
    </w:p>
    <w:p w:rsidR="00621738" w:rsidRDefault="00621738" w:rsidP="00621738">
      <w:pPr>
        <w:pStyle w:val="p3"/>
        <w:widowControl/>
        <w:tabs>
          <w:tab w:val="clear" w:pos="204"/>
        </w:tabs>
        <w:ind w:left="1440" w:right="1440"/>
        <w:rPr>
          <w:bCs/>
          <w:sz w:val="26"/>
          <w:szCs w:val="26"/>
        </w:rPr>
      </w:pPr>
      <w:r w:rsidRPr="002B5CFA">
        <w:rPr>
          <w:bCs/>
          <w:sz w:val="26"/>
          <w:szCs w:val="26"/>
        </w:rPr>
        <w:t xml:space="preserve">Many issues involved in the EE&amp;C plans, program implementation, and operation of the TRC test will be </w:t>
      </w:r>
      <w:r w:rsidRPr="002B5CFA">
        <w:rPr>
          <w:bCs/>
          <w:sz w:val="26"/>
          <w:szCs w:val="26"/>
        </w:rPr>
        <w:lastRenderedPageBreak/>
        <w:t>ongoing.  As will be seen, several specific issues are identified below which will require additional consideration and discussion.  Accordingly, we have determined to convene a stakeholder group to address these issues</w:t>
      </w:r>
      <w:r w:rsidRPr="002B5CFA">
        <w:rPr>
          <w:sz w:val="26"/>
          <w:szCs w:val="26"/>
        </w:rPr>
        <w:t xml:space="preserve">, as well as </w:t>
      </w:r>
      <w:r w:rsidRPr="002B5CFA">
        <w:rPr>
          <w:bCs/>
          <w:sz w:val="26"/>
          <w:szCs w:val="26"/>
        </w:rPr>
        <w:t xml:space="preserve">future issues which will undoubtedly arise as the plans move forward.  </w:t>
      </w:r>
      <w:r w:rsidRPr="002B5CFA">
        <w:rPr>
          <w:sz w:val="26"/>
          <w:szCs w:val="26"/>
        </w:rPr>
        <w:t xml:space="preserve"> </w:t>
      </w:r>
      <w:r w:rsidRPr="002B5CFA">
        <w:rPr>
          <w:bCs/>
          <w:sz w:val="26"/>
          <w:szCs w:val="26"/>
        </w:rPr>
        <w:t>A future Secretarial letter will announce details of the stakeholder group.</w:t>
      </w:r>
    </w:p>
    <w:p w:rsidR="000C1912" w:rsidRDefault="000C1912" w:rsidP="000C1912">
      <w:pPr>
        <w:pStyle w:val="p3"/>
        <w:widowControl/>
        <w:tabs>
          <w:tab w:val="clear" w:pos="204"/>
        </w:tabs>
        <w:spacing w:line="360" w:lineRule="auto"/>
        <w:ind w:right="720"/>
        <w:rPr>
          <w:bCs/>
          <w:i/>
          <w:sz w:val="26"/>
          <w:szCs w:val="26"/>
        </w:rPr>
      </w:pPr>
    </w:p>
    <w:p w:rsidR="00B602C5" w:rsidRDefault="00CE335D" w:rsidP="000C1912">
      <w:pPr>
        <w:pStyle w:val="p3"/>
        <w:widowControl/>
        <w:tabs>
          <w:tab w:val="clear" w:pos="204"/>
        </w:tabs>
        <w:spacing w:line="360" w:lineRule="auto"/>
        <w:ind w:right="720"/>
        <w:rPr>
          <w:bCs/>
          <w:sz w:val="26"/>
          <w:szCs w:val="26"/>
        </w:rPr>
      </w:pPr>
      <w:r>
        <w:rPr>
          <w:bCs/>
          <w:i/>
          <w:sz w:val="26"/>
          <w:szCs w:val="26"/>
        </w:rPr>
        <w:t>TRC Test Order</w:t>
      </w:r>
      <w:r w:rsidR="00B602C5" w:rsidRPr="00C41138">
        <w:rPr>
          <w:sz w:val="26"/>
          <w:szCs w:val="26"/>
        </w:rPr>
        <w:t xml:space="preserve"> </w:t>
      </w:r>
      <w:r w:rsidR="00B602C5">
        <w:rPr>
          <w:sz w:val="26"/>
          <w:szCs w:val="26"/>
        </w:rPr>
        <w:t>at</w:t>
      </w:r>
      <w:r w:rsidR="00B602C5" w:rsidRPr="00C41138">
        <w:rPr>
          <w:bCs/>
          <w:sz w:val="26"/>
          <w:szCs w:val="26"/>
        </w:rPr>
        <w:t xml:space="preserve"> 7</w:t>
      </w:r>
      <w:r w:rsidR="00B602C5">
        <w:rPr>
          <w:bCs/>
          <w:sz w:val="26"/>
          <w:szCs w:val="26"/>
        </w:rPr>
        <w:t>.</w:t>
      </w:r>
    </w:p>
    <w:p w:rsidR="000C1912" w:rsidRDefault="000C1912" w:rsidP="000C1912">
      <w:pPr>
        <w:pStyle w:val="p3"/>
        <w:widowControl/>
        <w:tabs>
          <w:tab w:val="clear" w:pos="204"/>
        </w:tabs>
        <w:spacing w:line="360" w:lineRule="auto"/>
        <w:ind w:right="720"/>
        <w:rPr>
          <w:bCs/>
          <w:sz w:val="26"/>
          <w:szCs w:val="26"/>
        </w:rPr>
      </w:pPr>
    </w:p>
    <w:p w:rsidR="00117C62" w:rsidRDefault="00117C62" w:rsidP="00117C62">
      <w:pPr>
        <w:spacing w:line="360" w:lineRule="auto"/>
        <w:ind w:firstLine="1440"/>
        <w:rPr>
          <w:sz w:val="26"/>
          <w:szCs w:val="26"/>
        </w:rPr>
      </w:pPr>
      <w:r>
        <w:rPr>
          <w:sz w:val="26"/>
          <w:szCs w:val="26"/>
        </w:rPr>
        <w:t xml:space="preserve">Furthermore, in the </w:t>
      </w:r>
      <w:r>
        <w:rPr>
          <w:i/>
          <w:sz w:val="26"/>
          <w:szCs w:val="26"/>
        </w:rPr>
        <w:t>TRC Test Order</w:t>
      </w:r>
      <w:r>
        <w:rPr>
          <w:sz w:val="26"/>
          <w:szCs w:val="26"/>
        </w:rPr>
        <w:t xml:space="preserve">, we directed that a stakeholder group be convened by Commission staff to address various issues arising in the </w:t>
      </w:r>
      <w:r w:rsidR="00270BFC">
        <w:rPr>
          <w:sz w:val="26"/>
          <w:szCs w:val="26"/>
        </w:rPr>
        <w:t xml:space="preserve">TRC Test </w:t>
      </w:r>
      <w:r>
        <w:rPr>
          <w:sz w:val="26"/>
          <w:szCs w:val="26"/>
        </w:rPr>
        <w:t xml:space="preserve">process.  One such issue is whether to make adjustments to gross energy savings through the use of a net-to-gross (NTG) ratio.  Three common factors, among others, addressed through the NTG are “free riders,” “take-back effect” and “spillover effect,” sometimes referred to as “free drivers.”  The concept of free riders is that a number of customers may take advantage of rebates or cost savings available through conservation programs even though they would have installed the efficient equipment on their own, without any incentive from the company.  Since there is no specific data available for Act 129 programs, the Commission determined that there would be no NTG adjustment made for the first year of program implementation.  The Commission also proposed that the EDCs be directed to study the degree to which these factors that affect the NTG adjustment are present, and such studies would be coordinated and overseen by the Statewide Evaluator.  Specifically, we direct that the TRC working group review the assumptions regarding penetration rates, rebate levels, and free ridership associated with </w:t>
      </w:r>
      <w:r w:rsidR="0091039F">
        <w:rPr>
          <w:sz w:val="26"/>
          <w:szCs w:val="26"/>
        </w:rPr>
        <w:t>compact fluorescent l</w:t>
      </w:r>
      <w:r w:rsidR="00631D0A">
        <w:rPr>
          <w:sz w:val="26"/>
          <w:szCs w:val="26"/>
        </w:rPr>
        <w:t>amp</w:t>
      </w:r>
      <w:r w:rsidR="0091039F">
        <w:rPr>
          <w:sz w:val="26"/>
          <w:szCs w:val="26"/>
        </w:rPr>
        <w:t xml:space="preserve"> (</w:t>
      </w:r>
      <w:r>
        <w:rPr>
          <w:sz w:val="26"/>
          <w:szCs w:val="26"/>
        </w:rPr>
        <w:t>CFL</w:t>
      </w:r>
      <w:r w:rsidR="0091039F">
        <w:rPr>
          <w:sz w:val="26"/>
          <w:szCs w:val="26"/>
        </w:rPr>
        <w:t>)</w:t>
      </w:r>
      <w:r>
        <w:rPr>
          <w:sz w:val="26"/>
          <w:szCs w:val="26"/>
        </w:rPr>
        <w:t xml:space="preserve"> programs.</w:t>
      </w:r>
    </w:p>
    <w:p w:rsidR="00117C62" w:rsidRDefault="00117C62" w:rsidP="001A05D7">
      <w:pPr>
        <w:pStyle w:val="p3"/>
        <w:widowControl/>
        <w:tabs>
          <w:tab w:val="clear" w:pos="204"/>
        </w:tabs>
        <w:spacing w:line="360" w:lineRule="auto"/>
        <w:ind w:right="720" w:firstLine="1440"/>
        <w:rPr>
          <w:bCs/>
          <w:sz w:val="26"/>
          <w:szCs w:val="26"/>
        </w:rPr>
      </w:pPr>
    </w:p>
    <w:p w:rsidR="00DA06B5" w:rsidRDefault="00117C62" w:rsidP="001A05D7">
      <w:pPr>
        <w:pStyle w:val="p3"/>
        <w:widowControl/>
        <w:tabs>
          <w:tab w:val="clear" w:pos="204"/>
        </w:tabs>
        <w:spacing w:line="360" w:lineRule="auto"/>
        <w:ind w:right="720" w:firstLine="1440"/>
        <w:rPr>
          <w:bCs/>
          <w:sz w:val="26"/>
          <w:szCs w:val="26"/>
        </w:rPr>
      </w:pPr>
      <w:r>
        <w:rPr>
          <w:bCs/>
          <w:sz w:val="26"/>
          <w:szCs w:val="26"/>
        </w:rPr>
        <w:t xml:space="preserve">Finally, we </w:t>
      </w:r>
      <w:r w:rsidR="001A05D7">
        <w:rPr>
          <w:bCs/>
          <w:sz w:val="26"/>
          <w:szCs w:val="26"/>
        </w:rPr>
        <w:t>note that the Companies’ Plans state:</w:t>
      </w:r>
    </w:p>
    <w:p w:rsidR="001A05D7" w:rsidRDefault="001A05D7" w:rsidP="001A05D7">
      <w:pPr>
        <w:pStyle w:val="p3"/>
        <w:widowControl/>
        <w:tabs>
          <w:tab w:val="clear" w:pos="204"/>
        </w:tabs>
        <w:spacing w:line="360" w:lineRule="auto"/>
        <w:ind w:right="720" w:firstLine="1440"/>
        <w:rPr>
          <w:bCs/>
          <w:sz w:val="26"/>
          <w:szCs w:val="26"/>
        </w:rPr>
      </w:pPr>
    </w:p>
    <w:p w:rsidR="001A05D7" w:rsidRDefault="001A05D7" w:rsidP="001A05D7">
      <w:pPr>
        <w:pStyle w:val="p3"/>
        <w:widowControl/>
        <w:tabs>
          <w:tab w:val="clear" w:pos="204"/>
        </w:tabs>
        <w:ind w:left="1440" w:right="1440"/>
        <w:rPr>
          <w:bCs/>
          <w:sz w:val="26"/>
          <w:szCs w:val="26"/>
        </w:rPr>
      </w:pPr>
      <w:r>
        <w:rPr>
          <w:bCs/>
          <w:sz w:val="26"/>
          <w:szCs w:val="26"/>
        </w:rPr>
        <w:t xml:space="preserve">Standard reports will be provided as necessary and required.  The format and content will be consistent with that defined by </w:t>
      </w:r>
      <w:r>
        <w:rPr>
          <w:bCs/>
          <w:sz w:val="26"/>
          <w:szCs w:val="26"/>
        </w:rPr>
        <w:lastRenderedPageBreak/>
        <w:t>the Commission.  The Company currently anticipates that such reports will include at a minimum:</w:t>
      </w:r>
    </w:p>
    <w:p w:rsidR="001A05D7" w:rsidRDefault="001A05D7" w:rsidP="001A05D7">
      <w:pPr>
        <w:pStyle w:val="p3"/>
        <w:widowControl/>
        <w:tabs>
          <w:tab w:val="clear" w:pos="204"/>
        </w:tabs>
        <w:ind w:left="1440" w:right="1440"/>
        <w:rPr>
          <w:bCs/>
          <w:sz w:val="26"/>
          <w:szCs w:val="26"/>
        </w:rPr>
      </w:pPr>
    </w:p>
    <w:p w:rsidR="001A05D7" w:rsidRDefault="001A05D7" w:rsidP="001A05D7">
      <w:pPr>
        <w:pStyle w:val="p3"/>
        <w:widowControl/>
        <w:numPr>
          <w:ilvl w:val="0"/>
          <w:numId w:val="8"/>
        </w:numPr>
        <w:tabs>
          <w:tab w:val="clear" w:pos="204"/>
        </w:tabs>
        <w:ind w:right="1440"/>
        <w:rPr>
          <w:bCs/>
          <w:sz w:val="26"/>
          <w:szCs w:val="26"/>
        </w:rPr>
      </w:pPr>
      <w:r>
        <w:rPr>
          <w:bCs/>
          <w:sz w:val="26"/>
          <w:szCs w:val="26"/>
        </w:rPr>
        <w:t>The number of customer applications;</w:t>
      </w:r>
    </w:p>
    <w:p w:rsidR="001A05D7" w:rsidRDefault="001A05D7" w:rsidP="001A05D7">
      <w:pPr>
        <w:pStyle w:val="p3"/>
        <w:widowControl/>
        <w:numPr>
          <w:ilvl w:val="0"/>
          <w:numId w:val="8"/>
        </w:numPr>
        <w:tabs>
          <w:tab w:val="clear" w:pos="204"/>
        </w:tabs>
        <w:ind w:right="1440"/>
        <w:rPr>
          <w:bCs/>
          <w:sz w:val="26"/>
          <w:szCs w:val="26"/>
        </w:rPr>
      </w:pPr>
      <w:r>
        <w:rPr>
          <w:bCs/>
          <w:sz w:val="26"/>
          <w:szCs w:val="26"/>
        </w:rPr>
        <w:t>Annualized rebates by program, utility, and operating company;</w:t>
      </w:r>
    </w:p>
    <w:p w:rsidR="001A05D7" w:rsidRDefault="001A05D7" w:rsidP="001A05D7">
      <w:pPr>
        <w:pStyle w:val="p3"/>
        <w:widowControl/>
        <w:numPr>
          <w:ilvl w:val="0"/>
          <w:numId w:val="8"/>
        </w:numPr>
        <w:tabs>
          <w:tab w:val="clear" w:pos="204"/>
        </w:tabs>
        <w:ind w:right="1440"/>
        <w:rPr>
          <w:bCs/>
          <w:sz w:val="26"/>
          <w:szCs w:val="26"/>
        </w:rPr>
      </w:pPr>
      <w:r>
        <w:rPr>
          <w:bCs/>
          <w:sz w:val="26"/>
          <w:szCs w:val="26"/>
        </w:rPr>
        <w:t>Installed measures summary;</w:t>
      </w:r>
    </w:p>
    <w:p w:rsidR="001A05D7" w:rsidRDefault="001A05D7" w:rsidP="001A05D7">
      <w:pPr>
        <w:pStyle w:val="p3"/>
        <w:widowControl/>
        <w:numPr>
          <w:ilvl w:val="0"/>
          <w:numId w:val="8"/>
        </w:numPr>
        <w:tabs>
          <w:tab w:val="clear" w:pos="204"/>
        </w:tabs>
        <w:ind w:right="1440"/>
        <w:rPr>
          <w:bCs/>
          <w:sz w:val="26"/>
          <w:szCs w:val="26"/>
        </w:rPr>
      </w:pPr>
      <w:r>
        <w:rPr>
          <w:bCs/>
          <w:sz w:val="26"/>
          <w:szCs w:val="26"/>
        </w:rPr>
        <w:t>Annualized impacts summary by measure type and by program;</w:t>
      </w:r>
    </w:p>
    <w:p w:rsidR="001A05D7" w:rsidRDefault="001A05D7" w:rsidP="001A05D7">
      <w:pPr>
        <w:pStyle w:val="p3"/>
        <w:widowControl/>
        <w:numPr>
          <w:ilvl w:val="0"/>
          <w:numId w:val="8"/>
        </w:numPr>
        <w:tabs>
          <w:tab w:val="clear" w:pos="204"/>
        </w:tabs>
        <w:ind w:right="1440"/>
        <w:rPr>
          <w:bCs/>
          <w:sz w:val="26"/>
          <w:szCs w:val="26"/>
        </w:rPr>
      </w:pPr>
      <w:r>
        <w:rPr>
          <w:bCs/>
          <w:sz w:val="26"/>
          <w:szCs w:val="26"/>
        </w:rPr>
        <w:t xml:space="preserve">Program participation overview; </w:t>
      </w:r>
    </w:p>
    <w:p w:rsidR="001A05D7" w:rsidRDefault="001A05D7" w:rsidP="001A05D7">
      <w:pPr>
        <w:pStyle w:val="p3"/>
        <w:widowControl/>
        <w:numPr>
          <w:ilvl w:val="0"/>
          <w:numId w:val="8"/>
        </w:numPr>
        <w:tabs>
          <w:tab w:val="clear" w:pos="204"/>
        </w:tabs>
        <w:ind w:right="1440"/>
        <w:rPr>
          <w:bCs/>
          <w:sz w:val="26"/>
          <w:szCs w:val="26"/>
        </w:rPr>
      </w:pPr>
      <w:r>
        <w:rPr>
          <w:bCs/>
          <w:sz w:val="26"/>
          <w:szCs w:val="26"/>
        </w:rPr>
        <w:t>Impacts versus goals; and</w:t>
      </w:r>
    </w:p>
    <w:p w:rsidR="001A05D7" w:rsidRDefault="001A05D7" w:rsidP="001A05D7">
      <w:pPr>
        <w:pStyle w:val="p3"/>
        <w:widowControl/>
        <w:numPr>
          <w:ilvl w:val="0"/>
          <w:numId w:val="8"/>
        </w:numPr>
        <w:tabs>
          <w:tab w:val="clear" w:pos="204"/>
        </w:tabs>
        <w:ind w:right="1440"/>
        <w:rPr>
          <w:bCs/>
          <w:sz w:val="26"/>
          <w:szCs w:val="26"/>
        </w:rPr>
      </w:pPr>
      <w:r>
        <w:rPr>
          <w:bCs/>
          <w:sz w:val="26"/>
          <w:szCs w:val="26"/>
        </w:rPr>
        <w:t>Rebates versus budget.</w:t>
      </w:r>
    </w:p>
    <w:p w:rsidR="001A05D7" w:rsidRDefault="001A05D7" w:rsidP="001A05D7">
      <w:pPr>
        <w:pStyle w:val="p3"/>
        <w:widowControl/>
        <w:tabs>
          <w:tab w:val="clear" w:pos="204"/>
        </w:tabs>
        <w:ind w:left="1440" w:right="1440"/>
        <w:rPr>
          <w:bCs/>
          <w:sz w:val="26"/>
          <w:szCs w:val="26"/>
        </w:rPr>
      </w:pPr>
    </w:p>
    <w:p w:rsidR="00117C62" w:rsidRDefault="001A05D7" w:rsidP="00AC2F6E">
      <w:pPr>
        <w:pStyle w:val="p3"/>
        <w:widowControl/>
        <w:tabs>
          <w:tab w:val="clear" w:pos="204"/>
        </w:tabs>
        <w:spacing w:line="360" w:lineRule="auto"/>
        <w:rPr>
          <w:bCs/>
          <w:sz w:val="26"/>
          <w:szCs w:val="26"/>
        </w:rPr>
      </w:pPr>
      <w:r>
        <w:rPr>
          <w:bCs/>
          <w:sz w:val="26"/>
          <w:szCs w:val="26"/>
        </w:rPr>
        <w:t xml:space="preserve">Met Ed’s September 21, 2009 Plan at 101.  </w:t>
      </w:r>
    </w:p>
    <w:p w:rsidR="00117C62" w:rsidRDefault="00117C62" w:rsidP="00AC2F6E">
      <w:pPr>
        <w:pStyle w:val="p3"/>
        <w:widowControl/>
        <w:tabs>
          <w:tab w:val="clear" w:pos="204"/>
        </w:tabs>
        <w:spacing w:line="360" w:lineRule="auto"/>
        <w:rPr>
          <w:bCs/>
          <w:sz w:val="26"/>
          <w:szCs w:val="26"/>
        </w:rPr>
      </w:pPr>
    </w:p>
    <w:p w:rsidR="001A05D7" w:rsidRDefault="00AC2F6E" w:rsidP="00117C62">
      <w:pPr>
        <w:pStyle w:val="p3"/>
        <w:widowControl/>
        <w:tabs>
          <w:tab w:val="clear" w:pos="204"/>
        </w:tabs>
        <w:spacing w:line="360" w:lineRule="auto"/>
        <w:ind w:firstLine="1440"/>
        <w:rPr>
          <w:bCs/>
          <w:sz w:val="26"/>
          <w:szCs w:val="26"/>
        </w:rPr>
      </w:pPr>
      <w:r>
        <w:rPr>
          <w:bCs/>
          <w:sz w:val="26"/>
          <w:szCs w:val="26"/>
        </w:rPr>
        <w:t>Considering this commitment, requiring FirstEnergy to provide an updated TRC analysis as part of the annual reporting process is not an unreasonable request and we direct the Companies to do so.  These annual TRC analyses will facilitate appropriate Plan modifications in a more timely manner.</w:t>
      </w:r>
    </w:p>
    <w:p w:rsidR="00DA06B5" w:rsidRDefault="00DA06B5" w:rsidP="000C1912">
      <w:pPr>
        <w:pStyle w:val="p3"/>
        <w:widowControl/>
        <w:tabs>
          <w:tab w:val="clear" w:pos="204"/>
        </w:tabs>
        <w:spacing w:line="360" w:lineRule="auto"/>
        <w:ind w:right="720"/>
        <w:rPr>
          <w:bCs/>
          <w:sz w:val="26"/>
          <w:szCs w:val="26"/>
        </w:rPr>
      </w:pPr>
    </w:p>
    <w:p w:rsidR="009E26A1" w:rsidRPr="00352094" w:rsidRDefault="00B6382E" w:rsidP="00940B59">
      <w:pPr>
        <w:pStyle w:val="Heading3"/>
      </w:pPr>
      <w:bookmarkStart w:id="159" w:name="_Toc242516294"/>
      <w:bookmarkStart w:id="160" w:name="_Toc244499350"/>
      <w:r>
        <w:t xml:space="preserve">3.  </w:t>
      </w:r>
      <w:r w:rsidR="006F4B78">
        <w:tab/>
      </w:r>
      <w:r w:rsidR="009E26A1" w:rsidRPr="00352094">
        <w:t>Cost Allocation Issues</w:t>
      </w:r>
      <w:bookmarkEnd w:id="159"/>
      <w:bookmarkEnd w:id="160"/>
    </w:p>
    <w:p w:rsidR="009E26A1" w:rsidRDefault="009E26A1" w:rsidP="005B1144">
      <w:pPr>
        <w:spacing w:line="360" w:lineRule="auto"/>
        <w:ind w:firstLine="1440"/>
        <w:rPr>
          <w:b/>
          <w:sz w:val="26"/>
          <w:szCs w:val="26"/>
        </w:rPr>
      </w:pPr>
    </w:p>
    <w:p w:rsidR="002E68FC" w:rsidRDefault="004438F4" w:rsidP="005C5196">
      <w:pPr>
        <w:spacing w:line="360" w:lineRule="auto"/>
        <w:ind w:firstLine="1440"/>
        <w:rPr>
          <w:sz w:val="26"/>
          <w:szCs w:val="26"/>
        </w:rPr>
      </w:pPr>
      <w:r>
        <w:rPr>
          <w:sz w:val="26"/>
          <w:szCs w:val="26"/>
        </w:rPr>
        <w:t xml:space="preserve">With regard to cost </w:t>
      </w:r>
      <w:r w:rsidR="00272608">
        <w:rPr>
          <w:sz w:val="26"/>
          <w:szCs w:val="26"/>
        </w:rPr>
        <w:t>allocation</w:t>
      </w:r>
      <w:r>
        <w:rPr>
          <w:sz w:val="26"/>
          <w:szCs w:val="26"/>
        </w:rPr>
        <w:t>, the Commission’s EE&amp;C Program is required to “ensure that measures approved</w:t>
      </w:r>
      <w:r w:rsidR="00EF64F0">
        <w:rPr>
          <w:sz w:val="26"/>
          <w:szCs w:val="26"/>
        </w:rPr>
        <w:t xml:space="preserve"> are financed by the same customer class that will receive the direct energy and conservation benefits.”  66 Pa. C.S. §</w:t>
      </w:r>
      <w:r>
        <w:rPr>
          <w:sz w:val="26"/>
          <w:szCs w:val="26"/>
        </w:rPr>
        <w:t xml:space="preserve"> </w:t>
      </w:r>
      <w:r w:rsidR="00EF64F0">
        <w:rPr>
          <w:sz w:val="26"/>
          <w:szCs w:val="26"/>
        </w:rPr>
        <w:t>2806.1(a)(11).</w:t>
      </w:r>
      <w:r w:rsidR="005C5196">
        <w:rPr>
          <w:sz w:val="26"/>
          <w:szCs w:val="26"/>
        </w:rPr>
        <w:t xml:space="preserve">  Th</w:t>
      </w:r>
      <w:r w:rsidR="00CF3FF6">
        <w:rPr>
          <w:sz w:val="26"/>
          <w:szCs w:val="26"/>
        </w:rPr>
        <w:t xml:space="preserve">e Parties addressed this issue in the context of cost recovery.  As a result, cost allocation </w:t>
      </w:r>
      <w:r w:rsidR="005C5196">
        <w:rPr>
          <w:sz w:val="26"/>
          <w:szCs w:val="26"/>
        </w:rPr>
        <w:t xml:space="preserve">will be addressed </w:t>
      </w:r>
      <w:r w:rsidR="00701D13">
        <w:rPr>
          <w:sz w:val="26"/>
          <w:szCs w:val="26"/>
        </w:rPr>
        <w:t>below.</w:t>
      </w:r>
    </w:p>
    <w:p w:rsidR="008E7C8E" w:rsidRPr="00352094" w:rsidRDefault="008E7C8E" w:rsidP="005B1144">
      <w:pPr>
        <w:spacing w:line="360" w:lineRule="auto"/>
        <w:ind w:firstLine="1440"/>
        <w:rPr>
          <w:b/>
          <w:sz w:val="26"/>
          <w:szCs w:val="26"/>
        </w:rPr>
      </w:pPr>
    </w:p>
    <w:p w:rsidR="009E26A1" w:rsidRPr="00352094" w:rsidRDefault="00B6382E" w:rsidP="00940B59">
      <w:pPr>
        <w:pStyle w:val="Heading3"/>
      </w:pPr>
      <w:bookmarkStart w:id="161" w:name="_Toc242516295"/>
      <w:bookmarkStart w:id="162" w:name="_Toc244499351"/>
      <w:r>
        <w:t xml:space="preserve">4.  </w:t>
      </w:r>
      <w:r w:rsidR="006F4B78">
        <w:tab/>
      </w:r>
      <w:r w:rsidR="009E26A1" w:rsidRPr="00352094">
        <w:t>Cost Recovery Issues</w:t>
      </w:r>
      <w:bookmarkEnd w:id="161"/>
      <w:bookmarkEnd w:id="162"/>
    </w:p>
    <w:p w:rsidR="009E26A1" w:rsidRDefault="009E26A1" w:rsidP="005B1144">
      <w:pPr>
        <w:spacing w:line="360" w:lineRule="auto"/>
        <w:ind w:firstLine="1440"/>
        <w:rPr>
          <w:sz w:val="26"/>
          <w:szCs w:val="26"/>
        </w:rPr>
      </w:pPr>
    </w:p>
    <w:p w:rsidR="006C52FF" w:rsidRDefault="006C52FF" w:rsidP="006C52FF">
      <w:pPr>
        <w:spacing w:line="360" w:lineRule="auto"/>
        <w:ind w:firstLine="1440"/>
        <w:rPr>
          <w:sz w:val="26"/>
          <w:szCs w:val="26"/>
        </w:rPr>
      </w:pPr>
      <w:r>
        <w:rPr>
          <w:sz w:val="26"/>
          <w:szCs w:val="26"/>
        </w:rPr>
        <w:t xml:space="preserve">Act 129 provides that an EDC “shall recover on a full and current basis from customers, through a reconcilable adjustment clause under Section 1307, all </w:t>
      </w:r>
      <w:r>
        <w:rPr>
          <w:sz w:val="26"/>
          <w:szCs w:val="26"/>
        </w:rPr>
        <w:lastRenderedPageBreak/>
        <w:t xml:space="preserve">reasonable and prudent costs incurred in the provision or management of [an EE&amp;C] plan.”  66 Pa. C.S. § 2806.1(k).  The Act also states:  </w:t>
      </w:r>
    </w:p>
    <w:p w:rsidR="006C52FF" w:rsidRDefault="006C52FF" w:rsidP="006C52FF">
      <w:pPr>
        <w:ind w:left="1440" w:right="1440"/>
        <w:rPr>
          <w:sz w:val="26"/>
          <w:szCs w:val="26"/>
        </w:rPr>
      </w:pPr>
    </w:p>
    <w:p w:rsidR="006C52FF" w:rsidRDefault="006C52FF" w:rsidP="006C52FF">
      <w:pPr>
        <w:ind w:left="1440" w:right="1440"/>
        <w:rPr>
          <w:sz w:val="26"/>
          <w:szCs w:val="26"/>
        </w:rPr>
      </w:pPr>
      <w:r>
        <w:rPr>
          <w:sz w:val="26"/>
          <w:szCs w:val="26"/>
        </w:rPr>
        <w:t>The plan shall include a proposed cost-recovery tariff mechanism, in accordance with Section 1307 (relating to sliding scale or rates; adjustments), to fund the energy efficiency and conservation measures and to ensure full and current recovery of the prudent and reasonable costs of the plan, including administrative costs, as approved by the commission.</w:t>
      </w:r>
    </w:p>
    <w:p w:rsidR="006C52FF" w:rsidRDefault="006C52FF" w:rsidP="006C52FF">
      <w:pPr>
        <w:ind w:firstLine="1440"/>
        <w:rPr>
          <w:sz w:val="26"/>
          <w:szCs w:val="26"/>
        </w:rPr>
      </w:pPr>
    </w:p>
    <w:p w:rsidR="006C52FF" w:rsidRDefault="006C52FF" w:rsidP="006C52FF">
      <w:pPr>
        <w:rPr>
          <w:sz w:val="26"/>
          <w:szCs w:val="26"/>
        </w:rPr>
      </w:pPr>
      <w:r>
        <w:rPr>
          <w:sz w:val="26"/>
          <w:szCs w:val="26"/>
        </w:rPr>
        <w:t xml:space="preserve">66 Pa. C.S. § 2806.1(b)(1)(i)(H).  </w:t>
      </w:r>
    </w:p>
    <w:p w:rsidR="006C52FF" w:rsidRDefault="006C52FF" w:rsidP="006C52FF">
      <w:pPr>
        <w:widowControl w:val="0"/>
        <w:spacing w:line="360" w:lineRule="auto"/>
        <w:rPr>
          <w:sz w:val="26"/>
          <w:szCs w:val="26"/>
        </w:rPr>
      </w:pPr>
    </w:p>
    <w:p w:rsidR="006C52FF" w:rsidRDefault="006C52FF" w:rsidP="006C52FF">
      <w:pPr>
        <w:spacing w:line="360" w:lineRule="auto"/>
        <w:ind w:firstLine="1440"/>
        <w:rPr>
          <w:sz w:val="26"/>
          <w:szCs w:val="26"/>
        </w:rPr>
      </w:pPr>
      <w:r>
        <w:rPr>
          <w:sz w:val="26"/>
          <w:szCs w:val="26"/>
        </w:rPr>
        <w:t>With regard to cost recovery allocation, the Commission’s EE&amp;C Program is required to “ensure that measures approved are financed by the same customer class that will receive the direct energy and conservation benefits.”  66 Pa. C.S. § 2806.1(a)(11).</w:t>
      </w:r>
    </w:p>
    <w:p w:rsidR="006C52FF" w:rsidRDefault="006C52FF" w:rsidP="006C52FF">
      <w:pPr>
        <w:spacing w:line="360" w:lineRule="auto"/>
        <w:ind w:firstLine="1440"/>
        <w:rPr>
          <w:sz w:val="26"/>
          <w:szCs w:val="26"/>
        </w:rPr>
      </w:pPr>
    </w:p>
    <w:p w:rsidR="006C52FF" w:rsidRDefault="006C52FF" w:rsidP="006C52FF">
      <w:pPr>
        <w:widowControl w:val="0"/>
        <w:spacing w:line="360" w:lineRule="auto"/>
        <w:ind w:firstLine="1440"/>
        <w:rPr>
          <w:sz w:val="26"/>
          <w:szCs w:val="26"/>
        </w:rPr>
      </w:pPr>
      <w:r>
        <w:rPr>
          <w:sz w:val="26"/>
          <w:szCs w:val="26"/>
        </w:rPr>
        <w:t>The Companies’ Plans call for three customer classes: residential, commercial and industrial each with a separately calculated rec</w:t>
      </w:r>
      <w:r w:rsidR="00AB2F18">
        <w:rPr>
          <w:sz w:val="26"/>
          <w:szCs w:val="26"/>
        </w:rPr>
        <w:t>overy rate.  FirstEnergy St.</w:t>
      </w:r>
      <w:r>
        <w:rPr>
          <w:sz w:val="26"/>
          <w:szCs w:val="26"/>
        </w:rPr>
        <w:t xml:space="preserve"> 3 at 3.  The cost recovery rates are based upon a price per kilowatt-hour (kWh) and will be billed on that basis.  To support its price per kWh recovery methodology, FirstEnergy states that a significant portion of the EE&amp;C Plan measures focus on the goal of reduced energy consumption.  Therefore, recovery on a kWh basis is appropriate for all cla</w:t>
      </w:r>
      <w:r w:rsidR="00AB2F18">
        <w:rPr>
          <w:sz w:val="26"/>
          <w:szCs w:val="26"/>
        </w:rPr>
        <w:t>sses.  FirstEnergy St.</w:t>
      </w:r>
      <w:r>
        <w:rPr>
          <w:sz w:val="26"/>
          <w:szCs w:val="26"/>
        </w:rPr>
        <w:t xml:space="preserve"> 3-R at 8; FirstEnergy MB at 47.</w:t>
      </w:r>
    </w:p>
    <w:p w:rsidR="00397BDF" w:rsidRDefault="00397BDF">
      <w:pPr>
        <w:spacing w:after="200" w:line="276" w:lineRule="auto"/>
        <w:rPr>
          <w:rFonts w:eastAsiaTheme="majorEastAsia" w:cstheme="majorBidi"/>
          <w:b/>
          <w:bCs/>
          <w:iCs/>
          <w:sz w:val="26"/>
        </w:rPr>
      </w:pPr>
      <w:bookmarkStart w:id="163" w:name="_Toc242516296"/>
      <w:r>
        <w:br w:type="page"/>
      </w:r>
    </w:p>
    <w:p w:rsidR="006C52FF" w:rsidRDefault="006C52FF" w:rsidP="006C52FF">
      <w:pPr>
        <w:pStyle w:val="Heading4"/>
      </w:pPr>
      <w:bookmarkStart w:id="164" w:name="_Toc244499352"/>
      <w:r>
        <w:lastRenderedPageBreak/>
        <w:t>a</w:t>
      </w:r>
      <w:r w:rsidR="00713216">
        <w:t>.</w:t>
      </w:r>
      <w:r>
        <w:tab/>
        <w:t>Customer Class Allocations</w:t>
      </w:r>
      <w:bookmarkEnd w:id="163"/>
      <w:bookmarkEnd w:id="164"/>
      <w:r>
        <w:tab/>
      </w:r>
    </w:p>
    <w:p w:rsidR="006C52FF" w:rsidRDefault="006C52FF" w:rsidP="006C52FF">
      <w:pPr>
        <w:spacing w:line="360" w:lineRule="auto"/>
        <w:ind w:firstLine="1440"/>
        <w:rPr>
          <w:sz w:val="26"/>
          <w:szCs w:val="26"/>
        </w:rPr>
      </w:pPr>
    </w:p>
    <w:p w:rsidR="006C52FF" w:rsidRPr="00C105A3" w:rsidRDefault="006C52FF" w:rsidP="006C52FF">
      <w:pPr>
        <w:pStyle w:val="Heading5"/>
      </w:pPr>
      <w:bookmarkStart w:id="165" w:name="_Toc242516297"/>
      <w:bookmarkStart w:id="166" w:name="_Toc244499353"/>
      <w:r w:rsidRPr="00C105A3">
        <w:t xml:space="preserve">(1)  </w:t>
      </w:r>
      <w:r w:rsidR="00DA0CEC">
        <w:tab/>
      </w:r>
      <w:r w:rsidRPr="00C105A3">
        <w:t>Government/Non-profit Costs</w:t>
      </w:r>
      <w:bookmarkEnd w:id="165"/>
      <w:bookmarkEnd w:id="166"/>
    </w:p>
    <w:p w:rsidR="006C52FF" w:rsidRDefault="006C52FF" w:rsidP="006C52FF">
      <w:pPr>
        <w:spacing w:line="360" w:lineRule="auto"/>
        <w:ind w:firstLine="1440"/>
        <w:rPr>
          <w:sz w:val="26"/>
          <w:szCs w:val="26"/>
        </w:rPr>
      </w:pPr>
    </w:p>
    <w:p w:rsidR="00DA0CEC" w:rsidRPr="00DA0CEC" w:rsidRDefault="00DA0CEC" w:rsidP="008E4C54">
      <w:pPr>
        <w:pStyle w:val="Heading6"/>
      </w:pPr>
      <w:bookmarkStart w:id="167" w:name="_Toc242516298"/>
      <w:bookmarkStart w:id="168" w:name="_Toc244499354"/>
      <w:r w:rsidRPr="00DA0CEC">
        <w:t>(A)</w:t>
      </w:r>
      <w:r w:rsidRPr="00DA0CEC">
        <w:tab/>
        <w:t>Positions of the Parties</w:t>
      </w:r>
      <w:bookmarkEnd w:id="167"/>
      <w:bookmarkEnd w:id="168"/>
    </w:p>
    <w:p w:rsidR="00DA0CEC" w:rsidRDefault="00DA0CEC" w:rsidP="006C52FF">
      <w:pPr>
        <w:spacing w:line="360" w:lineRule="auto"/>
        <w:ind w:firstLine="1440"/>
        <w:rPr>
          <w:sz w:val="26"/>
          <w:szCs w:val="26"/>
        </w:rPr>
      </w:pPr>
    </w:p>
    <w:p w:rsidR="006C52FF" w:rsidRDefault="006C52FF" w:rsidP="006C52FF">
      <w:pPr>
        <w:spacing w:line="360" w:lineRule="auto"/>
        <w:ind w:firstLine="1440"/>
        <w:rPr>
          <w:sz w:val="26"/>
          <w:szCs w:val="26"/>
        </w:rPr>
      </w:pPr>
      <w:r w:rsidRPr="0037575E">
        <w:rPr>
          <w:sz w:val="26"/>
          <w:szCs w:val="26"/>
        </w:rPr>
        <w:t>The OSBA notes that the Companies</w:t>
      </w:r>
      <w:r>
        <w:rPr>
          <w:sz w:val="26"/>
          <w:szCs w:val="26"/>
        </w:rPr>
        <w:t xml:space="preserve"> have proposed energy efficiency programs for four “portfolios” of customers:  residential (including </w:t>
      </w:r>
      <w:r w:rsidR="003A49E6">
        <w:rPr>
          <w:sz w:val="26"/>
          <w:szCs w:val="26"/>
        </w:rPr>
        <w:t>low-income</w:t>
      </w:r>
      <w:r>
        <w:rPr>
          <w:sz w:val="26"/>
          <w:szCs w:val="26"/>
        </w:rPr>
        <w:t>), Small C&amp;I, Large C&amp;I and Government/Non-Profit.  The OSBA observes that the costs associated with the programs for the Government/Non-Profit customers are, in turn, reassigned to the Small C&amp;I and Large C&amp;I categories</w:t>
      </w:r>
      <w:r w:rsidR="00767B6E">
        <w:rPr>
          <w:rStyle w:val="FootnoteReference"/>
          <w:sz w:val="26"/>
          <w:szCs w:val="26"/>
        </w:rPr>
        <w:footnoteReference w:id="33"/>
      </w:r>
      <w:r>
        <w:rPr>
          <w:sz w:val="26"/>
          <w:szCs w:val="26"/>
        </w:rPr>
        <w:t xml:space="preserve"> for cost recovery.  T</w:t>
      </w:r>
      <w:r w:rsidRPr="0037575E">
        <w:rPr>
          <w:sz w:val="26"/>
          <w:szCs w:val="26"/>
        </w:rPr>
        <w:t>he Small C&amp;I</w:t>
      </w:r>
      <w:r>
        <w:rPr>
          <w:sz w:val="26"/>
          <w:szCs w:val="26"/>
        </w:rPr>
        <w:t xml:space="preserve"> and Large C&amp;I categories each account for a number of different customer classes in the C</w:t>
      </w:r>
      <w:r w:rsidR="00AB2F18">
        <w:rPr>
          <w:sz w:val="26"/>
          <w:szCs w:val="26"/>
        </w:rPr>
        <w:t>ompanies’ tariffs.  OSBA St.</w:t>
      </w:r>
      <w:r>
        <w:rPr>
          <w:sz w:val="26"/>
          <w:szCs w:val="26"/>
        </w:rPr>
        <w:t xml:space="preserve"> 1 at 3.</w:t>
      </w:r>
    </w:p>
    <w:p w:rsidR="006C52FF" w:rsidRDefault="006C52FF" w:rsidP="006C52FF">
      <w:pPr>
        <w:spacing w:line="360" w:lineRule="auto"/>
        <w:ind w:firstLine="1440"/>
        <w:rPr>
          <w:sz w:val="26"/>
          <w:szCs w:val="26"/>
        </w:rPr>
      </w:pPr>
    </w:p>
    <w:p w:rsidR="006C52FF" w:rsidRDefault="006C52FF" w:rsidP="006C52FF">
      <w:pPr>
        <w:spacing w:line="360" w:lineRule="auto"/>
        <w:ind w:firstLine="1440"/>
        <w:rPr>
          <w:sz w:val="26"/>
          <w:szCs w:val="26"/>
        </w:rPr>
      </w:pPr>
      <w:r>
        <w:rPr>
          <w:sz w:val="26"/>
          <w:szCs w:val="26"/>
        </w:rPr>
        <w:t xml:space="preserve">The OSBA objects to the Companies’ inclusion of Government/Non-Profit expense into the cost allocation for the Small C&amp;I category.  According to the OSBA, </w:t>
      </w:r>
      <w:r w:rsidRPr="0037575E">
        <w:rPr>
          <w:sz w:val="26"/>
          <w:szCs w:val="26"/>
        </w:rPr>
        <w:t xml:space="preserve">the Companies do not offer any information about the relative size of </w:t>
      </w:r>
      <w:r>
        <w:rPr>
          <w:sz w:val="26"/>
          <w:szCs w:val="26"/>
        </w:rPr>
        <w:t xml:space="preserve">the </w:t>
      </w:r>
      <w:r w:rsidRPr="0037575E">
        <w:rPr>
          <w:sz w:val="26"/>
          <w:szCs w:val="26"/>
        </w:rPr>
        <w:t xml:space="preserve">Government/Non-Profit customers </w:t>
      </w:r>
      <w:r>
        <w:rPr>
          <w:sz w:val="26"/>
          <w:szCs w:val="26"/>
        </w:rPr>
        <w:t xml:space="preserve">included </w:t>
      </w:r>
      <w:r w:rsidRPr="0037575E">
        <w:rPr>
          <w:sz w:val="26"/>
          <w:szCs w:val="26"/>
        </w:rPr>
        <w:t>within th</w:t>
      </w:r>
      <w:r>
        <w:rPr>
          <w:sz w:val="26"/>
          <w:szCs w:val="26"/>
        </w:rPr>
        <w:t>e Small C&amp;I</w:t>
      </w:r>
      <w:r w:rsidRPr="0037575E">
        <w:rPr>
          <w:sz w:val="26"/>
          <w:szCs w:val="26"/>
        </w:rPr>
        <w:t xml:space="preserve"> group.  OSBA MB </w:t>
      </w:r>
      <w:r>
        <w:rPr>
          <w:sz w:val="26"/>
          <w:szCs w:val="26"/>
        </w:rPr>
        <w:t>at</w:t>
      </w:r>
      <w:r w:rsidRPr="0037575E">
        <w:rPr>
          <w:sz w:val="26"/>
          <w:szCs w:val="26"/>
        </w:rPr>
        <w:t xml:space="preserve"> 15.  Therefore, asserts the OSBA, it is possible that Small C&amp;I customers will be unduly burdened with paying for the energy conservation targets for government and non-profit entities.  </w:t>
      </w:r>
      <w:r>
        <w:rPr>
          <w:sz w:val="26"/>
          <w:szCs w:val="26"/>
        </w:rPr>
        <w:t xml:space="preserve">The OSBA argues that </w:t>
      </w:r>
      <w:r w:rsidRPr="0037575E">
        <w:rPr>
          <w:sz w:val="26"/>
          <w:szCs w:val="26"/>
        </w:rPr>
        <w:t xml:space="preserve">combining the Government/Non-Profit customers with Small C&amp;I customers for cost recovery purposes appears to be in conflict with 66 Pa. C.S. </w:t>
      </w:r>
      <w:r>
        <w:rPr>
          <w:sz w:val="26"/>
          <w:szCs w:val="26"/>
        </w:rPr>
        <w:br/>
      </w:r>
      <w:r w:rsidRPr="0037575E">
        <w:rPr>
          <w:sz w:val="26"/>
          <w:szCs w:val="26"/>
        </w:rPr>
        <w:t>§</w:t>
      </w:r>
      <w:r>
        <w:rPr>
          <w:sz w:val="26"/>
          <w:szCs w:val="26"/>
        </w:rPr>
        <w:t xml:space="preserve"> </w:t>
      </w:r>
      <w:r w:rsidRPr="0037575E">
        <w:rPr>
          <w:sz w:val="26"/>
          <w:szCs w:val="26"/>
        </w:rPr>
        <w:t xml:space="preserve">2806.1(b)(1)(i)(B), which treats the Government/Non-Profit group as a separate class </w:t>
      </w:r>
      <w:r>
        <w:rPr>
          <w:sz w:val="26"/>
          <w:szCs w:val="26"/>
        </w:rPr>
        <w:t>that</w:t>
      </w:r>
      <w:r w:rsidRPr="0037575E">
        <w:rPr>
          <w:sz w:val="26"/>
          <w:szCs w:val="26"/>
        </w:rPr>
        <w:t xml:space="preserve"> must produce an explicitly mandated share of the reduced consumption. </w:t>
      </w:r>
      <w:r>
        <w:rPr>
          <w:sz w:val="26"/>
          <w:szCs w:val="26"/>
        </w:rPr>
        <w:t xml:space="preserve"> Therefore, </w:t>
      </w:r>
      <w:r w:rsidRPr="0037575E">
        <w:rPr>
          <w:sz w:val="26"/>
          <w:szCs w:val="26"/>
        </w:rPr>
        <w:lastRenderedPageBreak/>
        <w:t xml:space="preserve">the OSBA recommends that Government/Non-Profit </w:t>
      </w:r>
      <w:r>
        <w:rPr>
          <w:sz w:val="26"/>
          <w:szCs w:val="26"/>
        </w:rPr>
        <w:t xml:space="preserve">customers </w:t>
      </w:r>
      <w:r w:rsidRPr="0037575E">
        <w:rPr>
          <w:sz w:val="26"/>
          <w:szCs w:val="26"/>
        </w:rPr>
        <w:t xml:space="preserve">be treated as a separate class for cost recovery purposes.  OSBA MB </w:t>
      </w:r>
      <w:r>
        <w:rPr>
          <w:sz w:val="26"/>
          <w:szCs w:val="26"/>
        </w:rPr>
        <w:t>at</w:t>
      </w:r>
      <w:r w:rsidRPr="0037575E">
        <w:rPr>
          <w:sz w:val="26"/>
          <w:szCs w:val="26"/>
        </w:rPr>
        <w:t xml:space="preserve"> 15</w:t>
      </w:r>
      <w:r>
        <w:rPr>
          <w:sz w:val="26"/>
          <w:szCs w:val="26"/>
        </w:rPr>
        <w:t>.</w:t>
      </w:r>
    </w:p>
    <w:p w:rsidR="006C52FF" w:rsidRDefault="006C52FF" w:rsidP="006C52FF">
      <w:pPr>
        <w:spacing w:line="360" w:lineRule="auto"/>
        <w:ind w:firstLine="1440"/>
        <w:rPr>
          <w:sz w:val="26"/>
          <w:szCs w:val="26"/>
        </w:rPr>
      </w:pPr>
    </w:p>
    <w:p w:rsidR="006C52FF" w:rsidRDefault="006C52FF" w:rsidP="00860FBE">
      <w:pPr>
        <w:spacing w:line="360" w:lineRule="auto"/>
        <w:ind w:firstLine="1440"/>
        <w:rPr>
          <w:sz w:val="26"/>
          <w:szCs w:val="26"/>
        </w:rPr>
      </w:pPr>
      <w:r>
        <w:rPr>
          <w:sz w:val="26"/>
          <w:szCs w:val="26"/>
        </w:rPr>
        <w:t xml:space="preserve">In its rebuttal testimony, the Companies assert that their initial proposed cost assignments by customer class are reasonable and are based on </w:t>
      </w:r>
      <w:r w:rsidR="00585064">
        <w:rPr>
          <w:sz w:val="26"/>
          <w:szCs w:val="26"/>
        </w:rPr>
        <w:t xml:space="preserve">the </w:t>
      </w:r>
      <w:r>
        <w:rPr>
          <w:sz w:val="26"/>
          <w:szCs w:val="26"/>
        </w:rPr>
        <w:t>measures proposed therein.  FirstEnergy states that the reconciliation statements provided in its annual Section 1307(e) proceedings will provide the basis to re-forecast customer rate class expenditures over the remainder of the Companies’ EE&amp;C Plans and, if necessary, provide the basis for any interim EEC-C rate adjustments by rate class.  FirstEnergy suggests that the statutory annual 1307(e) hearings will provide all interested stakeholders with an opportunity to address their concerns regarding any Company-propo</w:t>
      </w:r>
      <w:r w:rsidR="00585064">
        <w:rPr>
          <w:sz w:val="26"/>
          <w:szCs w:val="26"/>
        </w:rPr>
        <w:t xml:space="preserve">sed revisions to customer </w:t>
      </w:r>
      <w:r>
        <w:rPr>
          <w:sz w:val="26"/>
          <w:szCs w:val="26"/>
        </w:rPr>
        <w:t xml:space="preserve">rate </w:t>
      </w:r>
      <w:r w:rsidR="00585064">
        <w:rPr>
          <w:sz w:val="26"/>
          <w:szCs w:val="26"/>
        </w:rPr>
        <w:t xml:space="preserve">class </w:t>
      </w:r>
      <w:r>
        <w:rPr>
          <w:sz w:val="26"/>
          <w:szCs w:val="26"/>
        </w:rPr>
        <w:t>a</w:t>
      </w:r>
      <w:r w:rsidR="00AB2F18">
        <w:rPr>
          <w:sz w:val="26"/>
          <w:szCs w:val="26"/>
        </w:rPr>
        <w:t>llocations.  FirstEnergy St.</w:t>
      </w:r>
      <w:r>
        <w:rPr>
          <w:sz w:val="26"/>
          <w:szCs w:val="26"/>
        </w:rPr>
        <w:t xml:space="preserve"> 3-R at 8.</w:t>
      </w:r>
    </w:p>
    <w:p w:rsidR="006C52FF" w:rsidRDefault="006C52FF" w:rsidP="00860FBE">
      <w:pPr>
        <w:spacing w:line="360" w:lineRule="auto"/>
        <w:rPr>
          <w:sz w:val="26"/>
          <w:szCs w:val="26"/>
        </w:rPr>
      </w:pPr>
    </w:p>
    <w:p w:rsidR="006C52FF" w:rsidRDefault="00DA0CEC" w:rsidP="008E4C54">
      <w:pPr>
        <w:pStyle w:val="Heading6"/>
      </w:pPr>
      <w:bookmarkStart w:id="169" w:name="_Toc242516299"/>
      <w:bookmarkStart w:id="170" w:name="_Toc244499355"/>
      <w:r>
        <w:t>(B)</w:t>
      </w:r>
      <w:r>
        <w:tab/>
        <w:t>Disposition</w:t>
      </w:r>
      <w:bookmarkEnd w:id="169"/>
      <w:bookmarkEnd w:id="170"/>
    </w:p>
    <w:p w:rsidR="006C52FF" w:rsidRDefault="006C52FF" w:rsidP="00860FBE">
      <w:pPr>
        <w:spacing w:line="360" w:lineRule="auto"/>
        <w:rPr>
          <w:sz w:val="26"/>
          <w:szCs w:val="26"/>
        </w:rPr>
      </w:pPr>
    </w:p>
    <w:p w:rsidR="00F44D9B" w:rsidRDefault="00735E25" w:rsidP="00F44D9B">
      <w:pPr>
        <w:spacing w:line="360" w:lineRule="auto"/>
        <w:rPr>
          <w:sz w:val="26"/>
          <w:szCs w:val="26"/>
        </w:rPr>
      </w:pPr>
      <w:r>
        <w:rPr>
          <w:sz w:val="26"/>
          <w:szCs w:val="26"/>
        </w:rPr>
        <w:t xml:space="preserve"> </w:t>
      </w:r>
      <w:r w:rsidR="00010B60">
        <w:rPr>
          <w:sz w:val="26"/>
          <w:szCs w:val="26"/>
        </w:rPr>
        <w:t xml:space="preserve">  </w:t>
      </w:r>
      <w:r w:rsidR="00F44D9B">
        <w:tab/>
      </w:r>
      <w:r w:rsidR="00F44D9B">
        <w:tab/>
      </w:r>
      <w:r w:rsidR="003E505E">
        <w:rPr>
          <w:sz w:val="26"/>
          <w:szCs w:val="26"/>
        </w:rPr>
        <w:t>Section 2806.1(a)(11</w:t>
      </w:r>
      <w:r w:rsidR="00F44D9B" w:rsidRPr="00B72E35">
        <w:rPr>
          <w:sz w:val="26"/>
          <w:szCs w:val="26"/>
        </w:rPr>
        <w:t>)</w:t>
      </w:r>
      <w:r w:rsidR="00F44D9B">
        <w:rPr>
          <w:sz w:val="26"/>
          <w:szCs w:val="26"/>
        </w:rPr>
        <w:t xml:space="preserve"> of the Act requires EE&amp;C</w:t>
      </w:r>
      <w:r w:rsidR="00F44D9B" w:rsidRPr="00B72E35">
        <w:rPr>
          <w:sz w:val="26"/>
          <w:szCs w:val="26"/>
        </w:rPr>
        <w:t xml:space="preserve"> measures to be financed by the same customer class that receives the direct energy and conservation benefits of those measures.  </w:t>
      </w:r>
      <w:r w:rsidR="00F44D9B">
        <w:rPr>
          <w:sz w:val="26"/>
          <w:szCs w:val="26"/>
        </w:rPr>
        <w:t xml:space="preserve">If </w:t>
      </w:r>
      <w:r w:rsidR="00F44D9B" w:rsidRPr="00B72E35">
        <w:rPr>
          <w:sz w:val="26"/>
          <w:szCs w:val="26"/>
        </w:rPr>
        <w:t>a utility did not have a separate rate class that only included units of government, school districts, institutions of higher education and non-profit entities prior to the effective date of Act 129, we do not believe the General Assembly intended to mandate that the utility re-write its tariff to create such a rate class.  Such an undertaking would impose costs on utilities (and their ratepayers) without enhancing energy efficiency o</w:t>
      </w:r>
      <w:r w:rsidR="00F44D9B">
        <w:rPr>
          <w:sz w:val="26"/>
          <w:szCs w:val="26"/>
        </w:rPr>
        <w:t xml:space="preserve">r reducing energy consumption.  </w:t>
      </w:r>
      <w:r w:rsidR="00F44D9B" w:rsidRPr="00B72E35">
        <w:rPr>
          <w:sz w:val="26"/>
          <w:szCs w:val="26"/>
        </w:rPr>
        <w:t>A more reasonable interp</w:t>
      </w:r>
      <w:r w:rsidR="003E505E">
        <w:rPr>
          <w:sz w:val="26"/>
          <w:szCs w:val="26"/>
        </w:rPr>
        <w:t>retation of Section 2806.1(a)(11</w:t>
      </w:r>
      <w:r w:rsidR="00F44D9B" w:rsidRPr="00B72E35">
        <w:rPr>
          <w:sz w:val="26"/>
          <w:szCs w:val="26"/>
        </w:rPr>
        <w:t xml:space="preserve">) </w:t>
      </w:r>
      <w:r w:rsidR="00F44D9B">
        <w:rPr>
          <w:sz w:val="26"/>
          <w:szCs w:val="26"/>
        </w:rPr>
        <w:t xml:space="preserve">is that </w:t>
      </w:r>
      <w:r w:rsidR="00F44D9B" w:rsidRPr="00B72E35">
        <w:rPr>
          <w:sz w:val="26"/>
          <w:szCs w:val="26"/>
        </w:rPr>
        <w:t xml:space="preserve">the costs of measures benefitting governments, school districts, institutions of higher education and non-profit entities must be assigned in a reasonable manner to the rate class(es) in which those customers are embedded.  </w:t>
      </w:r>
    </w:p>
    <w:p w:rsidR="00F44D9B" w:rsidRDefault="00F44D9B" w:rsidP="00F44D9B">
      <w:pPr>
        <w:spacing w:line="360" w:lineRule="auto"/>
        <w:rPr>
          <w:sz w:val="26"/>
          <w:szCs w:val="26"/>
        </w:rPr>
      </w:pPr>
    </w:p>
    <w:p w:rsidR="00F44D9B" w:rsidRDefault="00F44D9B" w:rsidP="00F44D9B">
      <w:pPr>
        <w:spacing w:line="360" w:lineRule="auto"/>
        <w:ind w:firstLine="1440"/>
        <w:rPr>
          <w:sz w:val="26"/>
          <w:szCs w:val="26"/>
        </w:rPr>
      </w:pPr>
      <w:r>
        <w:rPr>
          <w:sz w:val="26"/>
          <w:szCs w:val="26"/>
        </w:rPr>
        <w:t>In this regard, we note that the Act also requires specific treatment of low-income customers</w:t>
      </w:r>
      <w:r w:rsidR="003E505E">
        <w:rPr>
          <w:sz w:val="26"/>
          <w:szCs w:val="26"/>
        </w:rPr>
        <w:t xml:space="preserve">, </w:t>
      </w:r>
      <w:r w:rsidRPr="009F27B3">
        <w:rPr>
          <w:i/>
          <w:sz w:val="26"/>
          <w:szCs w:val="26"/>
        </w:rPr>
        <w:t>see</w:t>
      </w:r>
      <w:r>
        <w:rPr>
          <w:sz w:val="26"/>
          <w:szCs w:val="26"/>
        </w:rPr>
        <w:t xml:space="preserve"> 66 Pa. C.S. </w:t>
      </w:r>
      <w:r w:rsidRPr="00831CB7">
        <w:rPr>
          <w:rFonts w:cs="Arial"/>
          <w:sz w:val="26"/>
          <w:szCs w:val="26"/>
        </w:rPr>
        <w:t>§</w:t>
      </w:r>
      <w:r>
        <w:rPr>
          <w:sz w:val="26"/>
          <w:szCs w:val="26"/>
        </w:rPr>
        <w:t xml:space="preserve"> 2806.1(b)(1)(i)(G), but no Party has suggested, nor </w:t>
      </w:r>
      <w:r>
        <w:rPr>
          <w:sz w:val="26"/>
          <w:szCs w:val="26"/>
        </w:rPr>
        <w:lastRenderedPageBreak/>
        <w:t xml:space="preserve">do we require, that low-income customers who are part of the Residential class be separated from that class for purposes of cost recovery.  As the costs to implement EE&amp;C programs for low-income customers will be borne by the entire Residential class, so is it reasonable to require that the costs to implement programs for Government/Non-Profit customers be borne by the specific class in which those customers reside.  </w:t>
      </w:r>
    </w:p>
    <w:p w:rsidR="00F44D9B" w:rsidRDefault="00F44D9B" w:rsidP="00F44D9B">
      <w:pPr>
        <w:spacing w:line="360" w:lineRule="auto"/>
        <w:rPr>
          <w:sz w:val="26"/>
          <w:szCs w:val="26"/>
        </w:rPr>
      </w:pPr>
    </w:p>
    <w:p w:rsidR="00F44D9B" w:rsidRDefault="00F44D9B" w:rsidP="00F44D9B">
      <w:pPr>
        <w:spacing w:line="360" w:lineRule="auto"/>
        <w:ind w:firstLine="1440"/>
        <w:rPr>
          <w:sz w:val="26"/>
          <w:szCs w:val="26"/>
        </w:rPr>
      </w:pPr>
      <w:r>
        <w:rPr>
          <w:sz w:val="26"/>
          <w:szCs w:val="26"/>
        </w:rPr>
        <w:t>Based on the facts in this case, w</w:t>
      </w:r>
      <w:r w:rsidRPr="00B72E35">
        <w:rPr>
          <w:sz w:val="26"/>
          <w:szCs w:val="26"/>
        </w:rPr>
        <w:t xml:space="preserve">e </w:t>
      </w:r>
      <w:r>
        <w:rPr>
          <w:sz w:val="26"/>
          <w:szCs w:val="26"/>
        </w:rPr>
        <w:t xml:space="preserve">find that the Companies’ initial proposed cost assignments by customer classes are not reasonable.  We note, for example, that Appendix H of Penn Power’s revised filing clarifies that for purposes of cost recovery the “Residential Customer Class” is comprised of Rate Schedules RS; RS Optional Controlled Service Rider; RH; RH Water Heating Option; WH; and GS Special Provision for Volunteer Fire Companies, Non-Profit Senior Citizen Centers, Non-Profit Rescue Squads, and Non-Profit Ambulance Services.  The “Commercial Customer Class” is comprised of Rate Schedules GS, GS Special Rule GSDS, GS Optional Controlled Service Rider, PNP, GM, GM Optional Controlled Service Rider, PLS, SV, SVD, SM, OH With Cooling Capabilities, OH Without Cooling Capabilities, and WH Non-Residential.  The “Industrial Commercial Class” is comprised of Rate Schedules GP and GT. </w:t>
      </w:r>
    </w:p>
    <w:p w:rsidR="00F44D9B" w:rsidRDefault="00F44D9B" w:rsidP="00F44D9B">
      <w:pPr>
        <w:spacing w:line="360" w:lineRule="auto"/>
        <w:ind w:firstLine="1440"/>
        <w:rPr>
          <w:sz w:val="26"/>
          <w:szCs w:val="26"/>
        </w:rPr>
      </w:pPr>
    </w:p>
    <w:p w:rsidR="00F44D9B" w:rsidRDefault="00F44D9B" w:rsidP="00F44D9B">
      <w:pPr>
        <w:spacing w:line="360" w:lineRule="auto"/>
        <w:ind w:firstLine="1440"/>
        <w:rPr>
          <w:sz w:val="26"/>
          <w:szCs w:val="26"/>
        </w:rPr>
      </w:pPr>
      <w:r>
        <w:rPr>
          <w:sz w:val="26"/>
          <w:szCs w:val="26"/>
        </w:rPr>
        <w:t xml:space="preserve">We are not persuaded that FirstEnergy has complied with </w:t>
      </w:r>
      <w:r w:rsidR="003E505E">
        <w:rPr>
          <w:sz w:val="26"/>
          <w:szCs w:val="26"/>
        </w:rPr>
        <w:t>Section 2806.1(a)(11</w:t>
      </w:r>
      <w:r w:rsidRPr="00B72E35">
        <w:rPr>
          <w:sz w:val="26"/>
          <w:szCs w:val="26"/>
        </w:rPr>
        <w:t>)</w:t>
      </w:r>
      <w:r>
        <w:rPr>
          <w:sz w:val="26"/>
          <w:szCs w:val="26"/>
        </w:rPr>
        <w:t xml:space="preserve"> where the residential customer class includes customers currently receiving service under tariffs that only apply to </w:t>
      </w:r>
      <w:r w:rsidR="0085535A">
        <w:rPr>
          <w:sz w:val="26"/>
          <w:szCs w:val="26"/>
        </w:rPr>
        <w:t xml:space="preserve">certain </w:t>
      </w:r>
      <w:r>
        <w:rPr>
          <w:sz w:val="26"/>
          <w:szCs w:val="26"/>
        </w:rPr>
        <w:t xml:space="preserve">non-profit entities, whereas the costs of programs for such entities are assigned to the </w:t>
      </w:r>
      <w:r w:rsidR="0085535A">
        <w:rPr>
          <w:sz w:val="26"/>
          <w:szCs w:val="26"/>
        </w:rPr>
        <w:t>commercial c</w:t>
      </w:r>
      <w:r>
        <w:rPr>
          <w:sz w:val="26"/>
          <w:szCs w:val="26"/>
        </w:rPr>
        <w:t>usto</w:t>
      </w:r>
      <w:r w:rsidR="0085535A">
        <w:rPr>
          <w:sz w:val="26"/>
          <w:szCs w:val="26"/>
        </w:rPr>
        <w:t>mer c</w:t>
      </w:r>
      <w:r>
        <w:rPr>
          <w:sz w:val="26"/>
          <w:szCs w:val="26"/>
        </w:rPr>
        <w:t>lass.  We therefore direct FirstEnergy to establish a separate cost recovery group for Government/Non-Profit customers, as required by the Act within sixty days of the entry of this Opinion and Order.</w:t>
      </w:r>
    </w:p>
    <w:p w:rsidR="00735E25" w:rsidRDefault="00735E25" w:rsidP="009036A4">
      <w:pPr>
        <w:spacing w:line="360" w:lineRule="auto"/>
        <w:ind w:firstLine="1440"/>
        <w:rPr>
          <w:sz w:val="26"/>
          <w:szCs w:val="26"/>
        </w:rPr>
      </w:pPr>
    </w:p>
    <w:p w:rsidR="00306C97" w:rsidRPr="00C105A3" w:rsidRDefault="00713216" w:rsidP="00F244A8">
      <w:pPr>
        <w:pStyle w:val="Heading5"/>
        <w:spacing w:line="240" w:lineRule="auto"/>
        <w:ind w:left="3600" w:hanging="720"/>
      </w:pPr>
      <w:bookmarkStart w:id="171" w:name="_Toc242516300"/>
      <w:bookmarkStart w:id="172" w:name="_Toc244499356"/>
      <w:r>
        <w:lastRenderedPageBreak/>
        <w:t>(2</w:t>
      </w:r>
      <w:r w:rsidR="00306C97" w:rsidRPr="00C105A3">
        <w:t xml:space="preserve">)  </w:t>
      </w:r>
      <w:r w:rsidR="00306C97">
        <w:tab/>
      </w:r>
      <w:r w:rsidR="00F244A8">
        <w:t xml:space="preserve">kWh Energy Charge Versus a </w:t>
      </w:r>
      <w:r w:rsidR="00BC034E">
        <w:t xml:space="preserve">kW </w:t>
      </w:r>
      <w:r w:rsidR="00F244A8">
        <w:t xml:space="preserve">Demand Charge for </w:t>
      </w:r>
      <w:r w:rsidR="00BB6B4E">
        <w:t xml:space="preserve">Large C&amp;I </w:t>
      </w:r>
      <w:r w:rsidR="00F244A8">
        <w:t>Customers</w:t>
      </w:r>
      <w:bookmarkEnd w:id="171"/>
      <w:bookmarkEnd w:id="172"/>
    </w:p>
    <w:p w:rsidR="00306C97" w:rsidRDefault="00306C97" w:rsidP="00306C97">
      <w:pPr>
        <w:spacing w:line="360" w:lineRule="auto"/>
        <w:ind w:firstLine="1440"/>
        <w:rPr>
          <w:sz w:val="26"/>
          <w:szCs w:val="26"/>
        </w:rPr>
      </w:pPr>
    </w:p>
    <w:p w:rsidR="00306C97" w:rsidRPr="00DA0CEC" w:rsidRDefault="00306C97" w:rsidP="008E4C54">
      <w:pPr>
        <w:pStyle w:val="Heading6"/>
      </w:pPr>
      <w:bookmarkStart w:id="173" w:name="_Toc242516301"/>
      <w:bookmarkStart w:id="174" w:name="_Toc244499357"/>
      <w:r w:rsidRPr="00DA0CEC">
        <w:t>(A)</w:t>
      </w:r>
      <w:r w:rsidRPr="00DA0CEC">
        <w:tab/>
        <w:t>Positions of the Parties</w:t>
      </w:r>
      <w:bookmarkEnd w:id="173"/>
      <w:bookmarkEnd w:id="174"/>
    </w:p>
    <w:p w:rsidR="00860FBE" w:rsidRDefault="00860FBE" w:rsidP="00860FBE">
      <w:pPr>
        <w:spacing w:line="360" w:lineRule="auto"/>
        <w:ind w:firstLine="1440"/>
        <w:rPr>
          <w:sz w:val="26"/>
          <w:szCs w:val="26"/>
        </w:rPr>
      </w:pPr>
    </w:p>
    <w:p w:rsidR="00860FBE" w:rsidRDefault="00860FBE" w:rsidP="00860FBE">
      <w:pPr>
        <w:spacing w:line="360" w:lineRule="auto"/>
        <w:ind w:firstLine="1440"/>
        <w:rPr>
          <w:sz w:val="26"/>
          <w:szCs w:val="26"/>
        </w:rPr>
      </w:pPr>
      <w:r>
        <w:rPr>
          <w:sz w:val="26"/>
          <w:szCs w:val="26"/>
        </w:rPr>
        <w:t xml:space="preserve">MEIUG </w:t>
      </w:r>
      <w:r>
        <w:rPr>
          <w:i/>
          <w:sz w:val="26"/>
          <w:szCs w:val="26"/>
        </w:rPr>
        <w:t xml:space="preserve">et al. </w:t>
      </w:r>
      <w:r>
        <w:rPr>
          <w:sz w:val="26"/>
          <w:szCs w:val="26"/>
        </w:rPr>
        <w:t xml:space="preserve">states that a kWh energy charge for large industrials is unfair and unreasonable.  This approach, according to MEIUG </w:t>
      </w:r>
      <w:r>
        <w:rPr>
          <w:i/>
          <w:sz w:val="26"/>
          <w:szCs w:val="26"/>
        </w:rPr>
        <w:t xml:space="preserve">et al., </w:t>
      </w:r>
      <w:r>
        <w:rPr>
          <w:sz w:val="26"/>
          <w:szCs w:val="26"/>
        </w:rPr>
        <w:t xml:space="preserve">will assign a greater cost burden on an EDC’s largest customers, regardless of the actual benefit received through energy efficiency and demand reduction programs designed for their class.  MEIUG </w:t>
      </w:r>
      <w:r>
        <w:rPr>
          <w:i/>
          <w:sz w:val="26"/>
          <w:szCs w:val="26"/>
        </w:rPr>
        <w:t xml:space="preserve">et al. </w:t>
      </w:r>
      <w:r>
        <w:rPr>
          <w:sz w:val="26"/>
          <w:szCs w:val="26"/>
        </w:rPr>
        <w:t xml:space="preserve">MB at 18; Tr at 168.  MEIUG </w:t>
      </w:r>
      <w:r>
        <w:rPr>
          <w:i/>
          <w:sz w:val="26"/>
          <w:szCs w:val="26"/>
        </w:rPr>
        <w:t xml:space="preserve">et al. </w:t>
      </w:r>
      <w:r>
        <w:rPr>
          <w:sz w:val="26"/>
          <w:szCs w:val="26"/>
        </w:rPr>
        <w:t xml:space="preserve">also believe that the result of a kWh approach for this customer class is an inequitable intra-class distribution of costs, wherein the largest and most efficient customers will essentially be subsidizing the EE&amp;C program benefits provided to other, smaller members of the class.  MEIUG </w:t>
      </w:r>
      <w:r>
        <w:rPr>
          <w:i/>
          <w:sz w:val="26"/>
          <w:szCs w:val="26"/>
        </w:rPr>
        <w:t xml:space="preserve">et al. </w:t>
      </w:r>
      <w:r>
        <w:rPr>
          <w:sz w:val="26"/>
          <w:szCs w:val="26"/>
        </w:rPr>
        <w:t xml:space="preserve">MB at 18; Tr at 170. </w:t>
      </w:r>
    </w:p>
    <w:p w:rsidR="00860FBE" w:rsidRDefault="00860FBE" w:rsidP="00860FBE">
      <w:pPr>
        <w:spacing w:line="360" w:lineRule="auto"/>
        <w:ind w:firstLine="720"/>
        <w:rPr>
          <w:sz w:val="26"/>
          <w:szCs w:val="26"/>
        </w:rPr>
      </w:pPr>
    </w:p>
    <w:p w:rsidR="00860FBE" w:rsidRDefault="00860FBE" w:rsidP="00860FBE">
      <w:pPr>
        <w:spacing w:line="360" w:lineRule="auto"/>
        <w:ind w:firstLine="1440"/>
        <w:rPr>
          <w:sz w:val="26"/>
          <w:szCs w:val="26"/>
        </w:rPr>
      </w:pPr>
      <w:r>
        <w:rPr>
          <w:sz w:val="26"/>
          <w:szCs w:val="26"/>
        </w:rPr>
        <w:t xml:space="preserve">MEIUG </w:t>
      </w:r>
      <w:r>
        <w:rPr>
          <w:i/>
          <w:sz w:val="26"/>
          <w:szCs w:val="26"/>
        </w:rPr>
        <w:t xml:space="preserve">et al. </w:t>
      </w:r>
      <w:r>
        <w:rPr>
          <w:sz w:val="26"/>
          <w:szCs w:val="26"/>
        </w:rPr>
        <w:t xml:space="preserve">notes that the Companies have acknowledged the kWh energy cost recovery approach will disproportionately assign costs to its largest customers simply by reason of their energy-intensive characteristics.  This, according to MEIUG </w:t>
      </w:r>
      <w:r>
        <w:rPr>
          <w:i/>
          <w:sz w:val="26"/>
          <w:szCs w:val="26"/>
        </w:rPr>
        <w:t>et al.</w:t>
      </w:r>
      <w:r w:rsidR="00BC034E">
        <w:rPr>
          <w:sz w:val="26"/>
          <w:szCs w:val="26"/>
        </w:rPr>
        <w:t>,</w:t>
      </w:r>
      <w:r>
        <w:rPr>
          <w:i/>
          <w:sz w:val="26"/>
          <w:szCs w:val="26"/>
        </w:rPr>
        <w:t xml:space="preserve"> </w:t>
      </w:r>
      <w:r>
        <w:rPr>
          <w:sz w:val="26"/>
          <w:szCs w:val="26"/>
        </w:rPr>
        <w:t xml:space="preserve">is an inequitable situation that should be corrected.  MEIUG </w:t>
      </w:r>
      <w:r>
        <w:rPr>
          <w:i/>
          <w:sz w:val="26"/>
          <w:szCs w:val="26"/>
        </w:rPr>
        <w:t xml:space="preserve">et al. </w:t>
      </w:r>
      <w:r w:rsidR="00D4599A">
        <w:rPr>
          <w:sz w:val="26"/>
          <w:szCs w:val="26"/>
        </w:rPr>
        <w:t>MB at </w:t>
      </w:r>
      <w:r>
        <w:rPr>
          <w:sz w:val="26"/>
          <w:szCs w:val="26"/>
        </w:rPr>
        <w:t xml:space="preserve">19; Tr at 168-171.  MEIUG </w:t>
      </w:r>
      <w:r>
        <w:rPr>
          <w:i/>
          <w:sz w:val="26"/>
          <w:szCs w:val="26"/>
        </w:rPr>
        <w:t xml:space="preserve">et al. </w:t>
      </w:r>
      <w:r>
        <w:rPr>
          <w:sz w:val="26"/>
          <w:szCs w:val="26"/>
        </w:rPr>
        <w:t xml:space="preserve">contends that as a matter of policy either a pure customer charge approach or a blended rate mechanism combining demand charges and customer charges is best to pursue cost assignment in the context of this proceeding.  MEIUG </w:t>
      </w:r>
      <w:r>
        <w:rPr>
          <w:i/>
          <w:sz w:val="26"/>
          <w:szCs w:val="26"/>
        </w:rPr>
        <w:t xml:space="preserve">et al. </w:t>
      </w:r>
      <w:r>
        <w:rPr>
          <w:sz w:val="26"/>
          <w:szCs w:val="26"/>
        </w:rPr>
        <w:t xml:space="preserve">MB at 19.  Further, MEIUG </w:t>
      </w:r>
      <w:r>
        <w:rPr>
          <w:i/>
          <w:sz w:val="26"/>
          <w:szCs w:val="26"/>
        </w:rPr>
        <w:t xml:space="preserve">et al. </w:t>
      </w:r>
      <w:r>
        <w:rPr>
          <w:sz w:val="26"/>
          <w:szCs w:val="26"/>
        </w:rPr>
        <w:t>assert</w:t>
      </w:r>
      <w:r w:rsidR="003E505E">
        <w:rPr>
          <w:sz w:val="26"/>
          <w:szCs w:val="26"/>
        </w:rPr>
        <w:t>s</w:t>
      </w:r>
      <w:r>
        <w:rPr>
          <w:sz w:val="26"/>
          <w:szCs w:val="26"/>
        </w:rPr>
        <w:t xml:space="preserve"> that, because the costs of the EE&amp;C Plans are allocated based on customer class, the implementation of a per kW demand charge for the Large C&amp;I category will not impact the cost allocation to other customer classes.  MEIUG </w:t>
      </w:r>
      <w:r>
        <w:rPr>
          <w:i/>
          <w:sz w:val="26"/>
          <w:szCs w:val="26"/>
        </w:rPr>
        <w:t xml:space="preserve">et al. </w:t>
      </w:r>
      <w:r>
        <w:rPr>
          <w:sz w:val="26"/>
          <w:szCs w:val="26"/>
        </w:rPr>
        <w:t xml:space="preserve">MB at 20.  Lastly, as clarified at the evidentiary hearing, FirstEnergy’s witness agreed that there is nothing preventing the implementation of a kW-based demand charge mechanism for recovering EE&amp;C Plan costs from the Large C&amp;I customers.  MEIUG </w:t>
      </w:r>
      <w:r>
        <w:rPr>
          <w:i/>
          <w:sz w:val="26"/>
          <w:szCs w:val="26"/>
        </w:rPr>
        <w:t>et al.</w:t>
      </w:r>
      <w:r>
        <w:rPr>
          <w:sz w:val="26"/>
          <w:szCs w:val="26"/>
        </w:rPr>
        <w:t xml:space="preserve"> at 20; Tr. at 171.  </w:t>
      </w:r>
    </w:p>
    <w:p w:rsidR="00860FBE" w:rsidRDefault="00860FBE" w:rsidP="00860FBE">
      <w:pPr>
        <w:spacing w:line="360" w:lineRule="auto"/>
        <w:rPr>
          <w:sz w:val="26"/>
          <w:szCs w:val="26"/>
        </w:rPr>
      </w:pPr>
    </w:p>
    <w:p w:rsidR="00860FBE" w:rsidRDefault="00860FBE" w:rsidP="00860FBE">
      <w:pPr>
        <w:spacing w:line="360" w:lineRule="auto"/>
        <w:ind w:firstLine="1440"/>
        <w:rPr>
          <w:sz w:val="26"/>
          <w:szCs w:val="26"/>
        </w:rPr>
      </w:pPr>
      <w:r>
        <w:rPr>
          <w:sz w:val="26"/>
          <w:szCs w:val="26"/>
        </w:rPr>
        <w:lastRenderedPageBreak/>
        <w:t>FirstEnergy states that the Companies’ initial cost assignments are reasonable and are based upon the measures proposed within its Plan</w:t>
      </w:r>
      <w:r w:rsidR="00BC034E">
        <w:rPr>
          <w:sz w:val="26"/>
          <w:szCs w:val="26"/>
        </w:rPr>
        <w:t>s</w:t>
      </w:r>
      <w:r>
        <w:rPr>
          <w:sz w:val="26"/>
          <w:szCs w:val="26"/>
        </w:rPr>
        <w:t xml:space="preserve">.  FirstEnergy has agreed to file customer class specific 1307(e) reconciliation statements annually to address the cumulative </w:t>
      </w:r>
      <w:r w:rsidR="00BE1219">
        <w:rPr>
          <w:sz w:val="26"/>
          <w:szCs w:val="26"/>
        </w:rPr>
        <w:t>over/under</w:t>
      </w:r>
      <w:r w:rsidR="00226AE1">
        <w:rPr>
          <w:sz w:val="26"/>
          <w:szCs w:val="26"/>
        </w:rPr>
        <w:t xml:space="preserve"> </w:t>
      </w:r>
      <w:r>
        <w:rPr>
          <w:sz w:val="26"/>
          <w:szCs w:val="26"/>
        </w:rPr>
        <w:t xml:space="preserve">collections of the EE&amp;C charges on a customer class basis.  The Companies also state that it is premature to address the issue at this time.  FirstEnergy Statement No. 3-R at 7-8.  </w:t>
      </w:r>
    </w:p>
    <w:p w:rsidR="00860FBE" w:rsidRDefault="00860FBE" w:rsidP="00860FBE">
      <w:pPr>
        <w:spacing w:line="360" w:lineRule="auto"/>
        <w:ind w:firstLine="1440"/>
        <w:rPr>
          <w:sz w:val="26"/>
          <w:szCs w:val="26"/>
        </w:rPr>
      </w:pPr>
    </w:p>
    <w:p w:rsidR="00860FBE" w:rsidRPr="006730B4" w:rsidRDefault="00860FBE" w:rsidP="00860FBE">
      <w:pPr>
        <w:spacing w:line="360" w:lineRule="auto"/>
        <w:ind w:firstLine="1440"/>
        <w:rPr>
          <w:sz w:val="26"/>
          <w:szCs w:val="26"/>
        </w:rPr>
      </w:pPr>
      <w:r>
        <w:rPr>
          <w:sz w:val="26"/>
          <w:szCs w:val="26"/>
        </w:rPr>
        <w:t xml:space="preserve">In its Reply Brief, FirstEnergy notes that MEIUG </w:t>
      </w:r>
      <w:r>
        <w:rPr>
          <w:i/>
          <w:sz w:val="26"/>
          <w:szCs w:val="26"/>
        </w:rPr>
        <w:t>et al.</w:t>
      </w:r>
      <w:r>
        <w:rPr>
          <w:sz w:val="26"/>
          <w:szCs w:val="26"/>
        </w:rPr>
        <w:t xml:space="preserve"> did not submit written testimony on this issue and, thus, its argument is lacking record evidence.  FirstEnergy RB at 32.  The Companies assert that, since no such testimony was filed, FirstEnergy had no opportunity to challenge the assertions of MEIUG </w:t>
      </w:r>
      <w:r>
        <w:rPr>
          <w:i/>
          <w:sz w:val="26"/>
          <w:szCs w:val="26"/>
        </w:rPr>
        <w:t>et al.</w:t>
      </w:r>
      <w:r>
        <w:rPr>
          <w:sz w:val="26"/>
          <w:szCs w:val="26"/>
        </w:rPr>
        <w:t xml:space="preserve"> or to present rebuttal testimony.  Thus, FirstEnergy asserts that the rate design modifications proposed by MEIUG </w:t>
      </w:r>
      <w:r>
        <w:rPr>
          <w:i/>
          <w:sz w:val="26"/>
          <w:szCs w:val="26"/>
        </w:rPr>
        <w:t>et al.</w:t>
      </w:r>
      <w:r>
        <w:rPr>
          <w:sz w:val="26"/>
          <w:szCs w:val="26"/>
        </w:rPr>
        <w:t xml:space="preserve"> should be summarily rejected by the Commission and the rate design proposed by FirstEnergy should be adopted.  FirstEnergy RB at 32. </w:t>
      </w:r>
    </w:p>
    <w:p w:rsidR="00636DA6" w:rsidRDefault="00636DA6" w:rsidP="00636DA6">
      <w:pPr>
        <w:spacing w:line="360" w:lineRule="auto"/>
        <w:rPr>
          <w:sz w:val="26"/>
          <w:szCs w:val="26"/>
        </w:rPr>
      </w:pPr>
    </w:p>
    <w:p w:rsidR="002D31F9" w:rsidRDefault="002D31F9" w:rsidP="008E4C54">
      <w:pPr>
        <w:pStyle w:val="Heading6"/>
      </w:pPr>
      <w:bookmarkStart w:id="175" w:name="_Toc242516302"/>
      <w:bookmarkStart w:id="176" w:name="_Toc244499358"/>
      <w:r>
        <w:t>(B)</w:t>
      </w:r>
      <w:r>
        <w:tab/>
        <w:t>Disposition</w:t>
      </w:r>
      <w:bookmarkEnd w:id="175"/>
      <w:bookmarkEnd w:id="176"/>
    </w:p>
    <w:p w:rsidR="008970E3" w:rsidRDefault="008970E3" w:rsidP="008970E3">
      <w:pPr>
        <w:widowControl w:val="0"/>
        <w:spacing w:line="360" w:lineRule="auto"/>
        <w:ind w:firstLine="1440"/>
        <w:rPr>
          <w:sz w:val="26"/>
          <w:szCs w:val="26"/>
        </w:rPr>
      </w:pPr>
    </w:p>
    <w:p w:rsidR="00E91A5A" w:rsidRDefault="008970E3" w:rsidP="008970E3">
      <w:pPr>
        <w:widowControl w:val="0"/>
        <w:spacing w:line="360" w:lineRule="auto"/>
        <w:ind w:firstLine="1440"/>
        <w:rPr>
          <w:sz w:val="26"/>
          <w:szCs w:val="26"/>
        </w:rPr>
      </w:pPr>
      <w:r>
        <w:rPr>
          <w:sz w:val="26"/>
          <w:szCs w:val="26"/>
        </w:rPr>
        <w:t>We have carefully reviewed the record on this issue as established by the Parties and find that the Companies</w:t>
      </w:r>
      <w:r w:rsidR="00BC034E">
        <w:rPr>
          <w:sz w:val="26"/>
          <w:szCs w:val="26"/>
        </w:rPr>
        <w:t>’</w:t>
      </w:r>
      <w:r>
        <w:rPr>
          <w:sz w:val="26"/>
          <w:szCs w:val="26"/>
        </w:rPr>
        <w:t xml:space="preserve"> proposed kWh recovery methodology, as it pertains to Large C</w:t>
      </w:r>
      <w:r w:rsidR="00EC4DF2">
        <w:rPr>
          <w:sz w:val="26"/>
          <w:szCs w:val="26"/>
        </w:rPr>
        <w:t>&amp;I</w:t>
      </w:r>
      <w:r>
        <w:rPr>
          <w:sz w:val="26"/>
          <w:szCs w:val="26"/>
        </w:rPr>
        <w:t xml:space="preserve"> customers, should be rejected</w:t>
      </w:r>
      <w:r w:rsidR="00353F55">
        <w:rPr>
          <w:sz w:val="26"/>
          <w:szCs w:val="26"/>
        </w:rPr>
        <w:t>.</w:t>
      </w:r>
      <w:r>
        <w:rPr>
          <w:sz w:val="26"/>
          <w:szCs w:val="26"/>
        </w:rPr>
        <w:t xml:space="preserve">  </w:t>
      </w:r>
      <w:r w:rsidR="00A32453">
        <w:rPr>
          <w:sz w:val="26"/>
          <w:szCs w:val="26"/>
        </w:rPr>
        <w:t>FirstEnergy’s own witness admitted at the hearing that the largest industrial customers would pay the most under FirstEnergy’s proposed recovery mechanism</w:t>
      </w:r>
      <w:r w:rsidR="00EE6345">
        <w:rPr>
          <w:sz w:val="26"/>
          <w:szCs w:val="26"/>
        </w:rPr>
        <w:t xml:space="preserve"> simply by reason of their energy-intensive characteristics</w:t>
      </w:r>
      <w:r w:rsidR="00A32453">
        <w:rPr>
          <w:sz w:val="26"/>
          <w:szCs w:val="26"/>
        </w:rPr>
        <w:t xml:space="preserve">.  </w:t>
      </w:r>
      <w:r w:rsidR="00EE6345">
        <w:rPr>
          <w:sz w:val="26"/>
          <w:szCs w:val="26"/>
        </w:rPr>
        <w:t xml:space="preserve">Tr. 168.  </w:t>
      </w:r>
    </w:p>
    <w:p w:rsidR="00E91A5A" w:rsidRDefault="00E91A5A" w:rsidP="008970E3">
      <w:pPr>
        <w:widowControl w:val="0"/>
        <w:spacing w:line="360" w:lineRule="auto"/>
        <w:ind w:firstLine="1440"/>
        <w:rPr>
          <w:sz w:val="26"/>
          <w:szCs w:val="26"/>
        </w:rPr>
      </w:pPr>
    </w:p>
    <w:p w:rsidR="00E32CDC" w:rsidRDefault="008D5E8A" w:rsidP="008970E3">
      <w:pPr>
        <w:widowControl w:val="0"/>
        <w:spacing w:line="360" w:lineRule="auto"/>
        <w:ind w:firstLine="1440"/>
        <w:rPr>
          <w:sz w:val="26"/>
          <w:szCs w:val="26"/>
        </w:rPr>
      </w:pPr>
      <w:r>
        <w:rPr>
          <w:sz w:val="26"/>
          <w:szCs w:val="26"/>
        </w:rPr>
        <w:t xml:space="preserve">We believe the Companies </w:t>
      </w:r>
      <w:r w:rsidR="0014401E">
        <w:rPr>
          <w:sz w:val="26"/>
          <w:szCs w:val="26"/>
        </w:rPr>
        <w:t xml:space="preserve">should recover their EE&amp;C Plan costs for the </w:t>
      </w:r>
      <w:r w:rsidR="00EC4DF2">
        <w:rPr>
          <w:sz w:val="26"/>
          <w:szCs w:val="26"/>
        </w:rPr>
        <w:t xml:space="preserve">Large C&amp;I customers </w:t>
      </w:r>
      <w:r w:rsidR="0014401E">
        <w:rPr>
          <w:sz w:val="26"/>
          <w:szCs w:val="26"/>
        </w:rPr>
        <w:t xml:space="preserve">utilizing a demand charge. </w:t>
      </w:r>
      <w:r>
        <w:rPr>
          <w:sz w:val="26"/>
          <w:szCs w:val="26"/>
        </w:rPr>
        <w:t xml:space="preserve"> </w:t>
      </w:r>
      <w:r w:rsidR="00AC02C8">
        <w:rPr>
          <w:sz w:val="26"/>
          <w:szCs w:val="26"/>
        </w:rPr>
        <w:t>In its Answer and Comments</w:t>
      </w:r>
      <w:r w:rsidR="00E32CDC">
        <w:rPr>
          <w:sz w:val="26"/>
          <w:szCs w:val="26"/>
        </w:rPr>
        <w:t xml:space="preserve"> to the Joint Petition</w:t>
      </w:r>
      <w:r w:rsidR="00FB5116">
        <w:rPr>
          <w:sz w:val="26"/>
          <w:szCs w:val="26"/>
        </w:rPr>
        <w:t xml:space="preserve"> at 33</w:t>
      </w:r>
      <w:r w:rsidR="00AC02C8">
        <w:rPr>
          <w:sz w:val="26"/>
          <w:szCs w:val="26"/>
        </w:rPr>
        <w:t xml:space="preserve">, </w:t>
      </w:r>
      <w:r w:rsidR="00E91A5A">
        <w:rPr>
          <w:sz w:val="26"/>
          <w:szCs w:val="26"/>
        </w:rPr>
        <w:t xml:space="preserve">MEIUG </w:t>
      </w:r>
      <w:r w:rsidR="00E91A5A">
        <w:rPr>
          <w:i/>
          <w:sz w:val="26"/>
          <w:szCs w:val="26"/>
        </w:rPr>
        <w:t>et al.</w:t>
      </w:r>
      <w:r w:rsidR="00E91A5A">
        <w:rPr>
          <w:sz w:val="26"/>
          <w:szCs w:val="26"/>
        </w:rPr>
        <w:t xml:space="preserve"> </w:t>
      </w:r>
      <w:r w:rsidR="00E32CDC">
        <w:rPr>
          <w:sz w:val="26"/>
          <w:szCs w:val="26"/>
        </w:rPr>
        <w:t>stated:</w:t>
      </w:r>
    </w:p>
    <w:p w:rsidR="00E32CDC" w:rsidRDefault="00E32CDC" w:rsidP="008970E3">
      <w:pPr>
        <w:widowControl w:val="0"/>
        <w:spacing w:line="360" w:lineRule="auto"/>
        <w:ind w:firstLine="1440"/>
        <w:rPr>
          <w:sz w:val="26"/>
          <w:szCs w:val="26"/>
        </w:rPr>
      </w:pPr>
    </w:p>
    <w:p w:rsidR="0007482E" w:rsidRDefault="00E32CDC" w:rsidP="00D4599A">
      <w:pPr>
        <w:keepNext/>
        <w:ind w:left="1440" w:right="1440"/>
        <w:rPr>
          <w:sz w:val="26"/>
          <w:szCs w:val="26"/>
        </w:rPr>
      </w:pPr>
      <w:r>
        <w:rPr>
          <w:sz w:val="26"/>
          <w:szCs w:val="26"/>
        </w:rPr>
        <w:lastRenderedPageBreak/>
        <w:t xml:space="preserve">Assuming that a per kW demand charge is implemented, however, an EDC must clearly identify how a customer’s kW demand is determined: whether by Peak Load Contribution (“PLC”) (essentially, the customer’s PJM capacity obligation), the customer’s monthly peak demand, or some other demand identifier.  The PJM PLC is determined based on the customer’s electricity demand during the five PJM peaks during the prior year.  Using the PLC to determine responsibility for any kW surcharge to collect EE&amp;C costs from Large C&amp;I customers would encourage all </w:t>
      </w:r>
      <w:r w:rsidR="00FB5116">
        <w:rPr>
          <w:sz w:val="26"/>
          <w:szCs w:val="26"/>
        </w:rPr>
        <w:t>Large C&amp;I customers to engage in efficiency and demand control measures during the five PJM peaks, which would further help the EDC to obtain the required reductions under Act 129.  In addition, because PLC are determined once annually, a demand charge based on PLC will provide a consistent charge to customers and constant, reliable recovery to EDCs.</w:t>
      </w:r>
    </w:p>
    <w:p w:rsidR="00E32CDC" w:rsidRDefault="00E32CDC" w:rsidP="008970E3">
      <w:pPr>
        <w:widowControl w:val="0"/>
        <w:spacing w:line="360" w:lineRule="auto"/>
        <w:ind w:firstLine="1440"/>
        <w:rPr>
          <w:sz w:val="26"/>
          <w:szCs w:val="26"/>
        </w:rPr>
      </w:pPr>
    </w:p>
    <w:p w:rsidR="0007482E" w:rsidRDefault="00E91A5A">
      <w:pPr>
        <w:widowControl w:val="0"/>
        <w:spacing w:line="360" w:lineRule="auto"/>
        <w:rPr>
          <w:sz w:val="26"/>
          <w:szCs w:val="26"/>
        </w:rPr>
      </w:pPr>
      <w:r>
        <w:rPr>
          <w:sz w:val="26"/>
          <w:szCs w:val="26"/>
        </w:rPr>
        <w:t xml:space="preserve">Upon further review, MEIUG </w:t>
      </w:r>
      <w:r>
        <w:rPr>
          <w:i/>
          <w:sz w:val="26"/>
          <w:szCs w:val="26"/>
        </w:rPr>
        <w:t xml:space="preserve">et al., </w:t>
      </w:r>
      <w:r>
        <w:rPr>
          <w:sz w:val="26"/>
          <w:szCs w:val="26"/>
        </w:rPr>
        <w:t xml:space="preserve">concluded that </w:t>
      </w:r>
      <w:r w:rsidR="00FB5116">
        <w:rPr>
          <w:sz w:val="26"/>
          <w:szCs w:val="26"/>
        </w:rPr>
        <w:t>the PJM PLC</w:t>
      </w:r>
      <w:r w:rsidR="000B1D68">
        <w:rPr>
          <w:sz w:val="26"/>
          <w:szCs w:val="26"/>
        </w:rPr>
        <w:t xml:space="preserve"> </w:t>
      </w:r>
      <w:r>
        <w:rPr>
          <w:sz w:val="26"/>
          <w:szCs w:val="26"/>
        </w:rPr>
        <w:t xml:space="preserve">“may not necessarily provide the most beneficial result for Large C&amp;I customers for all EDCs, particularly summer-peaking utilities such as Met Ed.”  </w:t>
      </w:r>
      <w:r w:rsidR="007742BE">
        <w:rPr>
          <w:sz w:val="26"/>
          <w:szCs w:val="26"/>
        </w:rPr>
        <w:t xml:space="preserve">MEIUG </w:t>
      </w:r>
      <w:r w:rsidR="007742BE">
        <w:rPr>
          <w:i/>
          <w:sz w:val="26"/>
          <w:szCs w:val="26"/>
        </w:rPr>
        <w:t xml:space="preserve">et al. </w:t>
      </w:r>
      <w:r w:rsidR="007742BE">
        <w:rPr>
          <w:sz w:val="26"/>
          <w:szCs w:val="26"/>
        </w:rPr>
        <w:t>MB at 20</w:t>
      </w:r>
      <w:r w:rsidR="004A093D">
        <w:rPr>
          <w:sz w:val="26"/>
          <w:szCs w:val="26"/>
        </w:rPr>
        <w:t>, n. 16</w:t>
      </w:r>
      <w:r w:rsidR="007742BE">
        <w:rPr>
          <w:sz w:val="26"/>
          <w:szCs w:val="26"/>
        </w:rPr>
        <w:t>.</w:t>
      </w:r>
      <w:r w:rsidR="0014401E">
        <w:rPr>
          <w:sz w:val="26"/>
          <w:szCs w:val="26"/>
        </w:rPr>
        <w:t xml:space="preserve">  </w:t>
      </w:r>
      <w:r w:rsidR="00FB5116">
        <w:rPr>
          <w:sz w:val="26"/>
          <w:szCs w:val="26"/>
        </w:rPr>
        <w:t xml:space="preserve">MEIUG </w:t>
      </w:r>
      <w:r w:rsidR="00434683" w:rsidRPr="00434683">
        <w:rPr>
          <w:i/>
          <w:sz w:val="26"/>
          <w:szCs w:val="26"/>
        </w:rPr>
        <w:t>et al.,</w:t>
      </w:r>
      <w:r w:rsidR="000B1D68">
        <w:rPr>
          <w:sz w:val="26"/>
          <w:szCs w:val="26"/>
        </w:rPr>
        <w:t xml:space="preserve"> simply asked that the Companies analyze the most favorable approach for calculating customer demand for purposes of a demand charge and employ the result that produces the most just and reasonable result for the industrial class.</w:t>
      </w:r>
    </w:p>
    <w:p w:rsidR="0007482E" w:rsidRDefault="0007482E">
      <w:pPr>
        <w:widowControl w:val="0"/>
        <w:spacing w:line="360" w:lineRule="auto"/>
        <w:rPr>
          <w:sz w:val="26"/>
          <w:szCs w:val="26"/>
        </w:rPr>
      </w:pPr>
    </w:p>
    <w:p w:rsidR="002415ED" w:rsidRDefault="0081358D" w:rsidP="002415ED">
      <w:pPr>
        <w:pStyle w:val="ListParagraph"/>
        <w:tabs>
          <w:tab w:val="left" w:pos="0"/>
        </w:tabs>
        <w:spacing w:line="360" w:lineRule="auto"/>
        <w:ind w:left="0" w:firstLine="1440"/>
        <w:contextualSpacing w:val="0"/>
        <w:rPr>
          <w:sz w:val="26"/>
          <w:szCs w:val="26"/>
        </w:rPr>
      </w:pPr>
      <w:r>
        <w:rPr>
          <w:sz w:val="26"/>
          <w:szCs w:val="26"/>
        </w:rPr>
        <w:t>With regard to Met Ed and Penelec, t</w:t>
      </w:r>
      <w:r w:rsidR="002415ED" w:rsidRPr="00995653">
        <w:rPr>
          <w:sz w:val="26"/>
          <w:szCs w:val="26"/>
        </w:rPr>
        <w:t xml:space="preserve">he Commission is </w:t>
      </w:r>
      <w:r w:rsidR="002415ED">
        <w:rPr>
          <w:sz w:val="26"/>
          <w:szCs w:val="26"/>
        </w:rPr>
        <w:t>persuaded by</w:t>
      </w:r>
      <w:r>
        <w:rPr>
          <w:sz w:val="26"/>
          <w:szCs w:val="26"/>
        </w:rPr>
        <w:t xml:space="preserve"> the </w:t>
      </w:r>
      <w:r w:rsidR="00B104F8">
        <w:rPr>
          <w:sz w:val="26"/>
          <w:szCs w:val="26"/>
        </w:rPr>
        <w:t xml:space="preserve">arguments offered in the Answer and Comments of </w:t>
      </w:r>
      <w:r>
        <w:rPr>
          <w:sz w:val="26"/>
          <w:szCs w:val="26"/>
        </w:rPr>
        <w:t xml:space="preserve">MEIUG </w:t>
      </w:r>
      <w:r w:rsidR="00434683" w:rsidRPr="00434683">
        <w:rPr>
          <w:i/>
          <w:sz w:val="26"/>
          <w:szCs w:val="26"/>
        </w:rPr>
        <w:t>et al</w:t>
      </w:r>
      <w:r w:rsidR="004A093D">
        <w:rPr>
          <w:i/>
          <w:sz w:val="26"/>
          <w:szCs w:val="26"/>
        </w:rPr>
        <w:t>.</w:t>
      </w:r>
      <w:r w:rsidR="0038250A">
        <w:rPr>
          <w:i/>
          <w:sz w:val="26"/>
          <w:szCs w:val="26"/>
        </w:rPr>
        <w:t xml:space="preserve">  </w:t>
      </w:r>
      <w:r w:rsidR="0038250A">
        <w:rPr>
          <w:sz w:val="26"/>
          <w:szCs w:val="26"/>
        </w:rPr>
        <w:t>T</w:t>
      </w:r>
      <w:r w:rsidR="004A093D">
        <w:rPr>
          <w:sz w:val="26"/>
          <w:szCs w:val="26"/>
        </w:rPr>
        <w:t xml:space="preserve">he </w:t>
      </w:r>
      <w:r w:rsidR="0038250A">
        <w:rPr>
          <w:sz w:val="26"/>
          <w:szCs w:val="26"/>
        </w:rPr>
        <w:t xml:space="preserve">argument for MEIUG </w:t>
      </w:r>
      <w:r w:rsidR="00434683" w:rsidRPr="00434683">
        <w:rPr>
          <w:i/>
          <w:sz w:val="26"/>
          <w:szCs w:val="26"/>
        </w:rPr>
        <w:t>et al.</w:t>
      </w:r>
      <w:r w:rsidR="0038250A">
        <w:rPr>
          <w:sz w:val="26"/>
          <w:szCs w:val="26"/>
        </w:rPr>
        <w:t xml:space="preserve">’s change of position is obviously based on self-interest and we are not persuaded.  </w:t>
      </w:r>
      <w:r w:rsidR="003F2FD7">
        <w:rPr>
          <w:sz w:val="26"/>
          <w:szCs w:val="26"/>
        </w:rPr>
        <w:t>T</w:t>
      </w:r>
      <w:r w:rsidR="002415ED">
        <w:rPr>
          <w:sz w:val="26"/>
          <w:szCs w:val="26"/>
        </w:rPr>
        <w:t>he Commission believes that utilizing the PLC would encoura</w:t>
      </w:r>
      <w:r w:rsidR="00EC4DF2">
        <w:rPr>
          <w:sz w:val="26"/>
          <w:szCs w:val="26"/>
        </w:rPr>
        <w:t>ge L</w:t>
      </w:r>
      <w:r w:rsidR="003F2FD7">
        <w:rPr>
          <w:sz w:val="26"/>
          <w:szCs w:val="26"/>
        </w:rPr>
        <w:t>arge</w:t>
      </w:r>
      <w:r w:rsidR="00EC4DF2">
        <w:rPr>
          <w:sz w:val="26"/>
          <w:szCs w:val="26"/>
        </w:rPr>
        <w:t xml:space="preserve"> C&amp;I </w:t>
      </w:r>
      <w:r w:rsidR="002415ED">
        <w:rPr>
          <w:sz w:val="26"/>
          <w:szCs w:val="26"/>
        </w:rPr>
        <w:t xml:space="preserve">customers to engage in efficiency and load control measures that would further the energy and demand reduction goals of Act 129.  </w:t>
      </w:r>
      <w:r w:rsidR="003F2FD7">
        <w:rPr>
          <w:sz w:val="26"/>
          <w:szCs w:val="26"/>
        </w:rPr>
        <w:t>The Commission will</w:t>
      </w:r>
      <w:r w:rsidR="002415ED">
        <w:rPr>
          <w:sz w:val="26"/>
          <w:szCs w:val="26"/>
        </w:rPr>
        <w:t xml:space="preserve">, therefore, direct </w:t>
      </w:r>
      <w:r w:rsidR="003F2FD7">
        <w:rPr>
          <w:sz w:val="26"/>
          <w:szCs w:val="26"/>
        </w:rPr>
        <w:t xml:space="preserve">Met Ed and Penelec </w:t>
      </w:r>
      <w:r w:rsidR="002415ED">
        <w:rPr>
          <w:sz w:val="26"/>
          <w:szCs w:val="26"/>
        </w:rPr>
        <w:t xml:space="preserve">to adopt an EE&amp;C Plan demand charge based on a customer’s PJM Peak Load Contribution as the cost recovery mechanism for its </w:t>
      </w:r>
      <w:r w:rsidR="00EC4DF2">
        <w:rPr>
          <w:sz w:val="26"/>
          <w:szCs w:val="26"/>
        </w:rPr>
        <w:t xml:space="preserve">Large C&amp;I </w:t>
      </w:r>
      <w:r w:rsidR="002415ED">
        <w:rPr>
          <w:sz w:val="26"/>
          <w:szCs w:val="26"/>
        </w:rPr>
        <w:t>customers.</w:t>
      </w:r>
      <w:r w:rsidR="003F2FD7">
        <w:rPr>
          <w:sz w:val="26"/>
          <w:szCs w:val="26"/>
        </w:rPr>
        <w:t xml:space="preserve">  We further direct Penn Power to adopt a comparable cost recovery mechanism when it </w:t>
      </w:r>
      <w:r w:rsidR="00100D31">
        <w:rPr>
          <w:sz w:val="26"/>
          <w:szCs w:val="26"/>
        </w:rPr>
        <w:t xml:space="preserve">joins </w:t>
      </w:r>
      <w:r w:rsidR="003F2FD7">
        <w:rPr>
          <w:sz w:val="26"/>
          <w:szCs w:val="26"/>
        </w:rPr>
        <w:t>PJM.</w:t>
      </w:r>
      <w:r w:rsidR="00915FAB">
        <w:rPr>
          <w:sz w:val="26"/>
          <w:szCs w:val="26"/>
        </w:rPr>
        <w:t xml:space="preserve">  In the meantim</w:t>
      </w:r>
      <w:r w:rsidR="00BF66C6">
        <w:rPr>
          <w:sz w:val="26"/>
          <w:szCs w:val="26"/>
        </w:rPr>
        <w:t>e, Penn Power</w:t>
      </w:r>
      <w:r w:rsidR="00867C71">
        <w:rPr>
          <w:sz w:val="26"/>
          <w:szCs w:val="26"/>
        </w:rPr>
        <w:t xml:space="preserve">’s demand charge shall be based on the </w:t>
      </w:r>
      <w:r w:rsidR="00A66BED">
        <w:rPr>
          <w:sz w:val="26"/>
          <w:szCs w:val="26"/>
        </w:rPr>
        <w:t xml:space="preserve">monthly </w:t>
      </w:r>
      <w:r w:rsidR="00A66BED">
        <w:rPr>
          <w:sz w:val="26"/>
          <w:szCs w:val="26"/>
        </w:rPr>
        <w:lastRenderedPageBreak/>
        <w:t xml:space="preserve">kW used by </w:t>
      </w:r>
      <w:r w:rsidR="00C46A55">
        <w:rPr>
          <w:sz w:val="26"/>
          <w:szCs w:val="26"/>
        </w:rPr>
        <w:t xml:space="preserve">Large C&amp;I </w:t>
      </w:r>
      <w:r w:rsidR="00BF66C6">
        <w:rPr>
          <w:sz w:val="26"/>
          <w:szCs w:val="26"/>
        </w:rPr>
        <w:t>customers</w:t>
      </w:r>
      <w:r w:rsidR="009A72D1">
        <w:rPr>
          <w:sz w:val="26"/>
          <w:szCs w:val="26"/>
        </w:rPr>
        <w:t>, or a PLC equivalent should such determinant become available in the future in the MISO markets</w:t>
      </w:r>
      <w:r w:rsidR="00915FAB">
        <w:rPr>
          <w:sz w:val="26"/>
          <w:szCs w:val="26"/>
        </w:rPr>
        <w:t>.</w:t>
      </w:r>
    </w:p>
    <w:p w:rsidR="009A72D1" w:rsidRDefault="009A72D1" w:rsidP="008970E3">
      <w:pPr>
        <w:widowControl w:val="0"/>
        <w:spacing w:line="360" w:lineRule="auto"/>
        <w:ind w:firstLine="1440"/>
        <w:rPr>
          <w:sz w:val="26"/>
          <w:szCs w:val="26"/>
        </w:rPr>
      </w:pPr>
    </w:p>
    <w:p w:rsidR="00EE40FF" w:rsidRDefault="00ED7B6B" w:rsidP="00EE40FF">
      <w:pPr>
        <w:pStyle w:val="Heading4"/>
        <w:spacing w:line="240" w:lineRule="auto"/>
        <w:ind w:left="2880" w:hanging="720"/>
      </w:pPr>
      <w:bookmarkStart w:id="177" w:name="_Toc242516303"/>
      <w:bookmarkStart w:id="178" w:name="_Toc244499359"/>
      <w:r>
        <w:t>b</w:t>
      </w:r>
      <w:r w:rsidR="001E3672">
        <w:t>.</w:t>
      </w:r>
      <w:r>
        <w:tab/>
        <w:t>Cost Recovery through a Separate Surcharge or Within Distribution Rates</w:t>
      </w:r>
      <w:bookmarkEnd w:id="177"/>
      <w:bookmarkEnd w:id="178"/>
    </w:p>
    <w:p w:rsidR="00ED7B6B" w:rsidRDefault="00ED7B6B" w:rsidP="00ED7B6B">
      <w:pPr>
        <w:pStyle w:val="Heading4"/>
      </w:pPr>
      <w:r>
        <w:tab/>
      </w:r>
    </w:p>
    <w:p w:rsidR="00EE40FF" w:rsidRPr="00C105A3" w:rsidRDefault="00EE40FF" w:rsidP="00EE40FF">
      <w:pPr>
        <w:pStyle w:val="Heading5"/>
        <w:spacing w:line="240" w:lineRule="auto"/>
        <w:ind w:left="3600" w:hanging="720"/>
      </w:pPr>
      <w:bookmarkStart w:id="179" w:name="_Toc242516304"/>
      <w:bookmarkStart w:id="180" w:name="_Toc244499360"/>
      <w:r w:rsidRPr="00C105A3">
        <w:t xml:space="preserve">(1)  </w:t>
      </w:r>
      <w:r>
        <w:tab/>
        <w:t>Positions of the Parties</w:t>
      </w:r>
      <w:bookmarkEnd w:id="179"/>
      <w:bookmarkEnd w:id="180"/>
    </w:p>
    <w:p w:rsidR="006C52FF" w:rsidRDefault="006C52FF" w:rsidP="00486CBB">
      <w:pPr>
        <w:spacing w:line="360" w:lineRule="auto"/>
        <w:rPr>
          <w:sz w:val="26"/>
          <w:szCs w:val="26"/>
        </w:rPr>
      </w:pPr>
    </w:p>
    <w:p w:rsidR="00A666B0" w:rsidRDefault="00A666B0" w:rsidP="00A666B0">
      <w:pPr>
        <w:spacing w:line="360" w:lineRule="auto"/>
        <w:ind w:firstLine="1440"/>
        <w:rPr>
          <w:sz w:val="26"/>
          <w:szCs w:val="26"/>
        </w:rPr>
      </w:pPr>
      <w:r>
        <w:rPr>
          <w:sz w:val="26"/>
          <w:szCs w:val="26"/>
        </w:rPr>
        <w:t>FirstEnergy has proposed three separate surcharges for each of its distribution companies, which are proposed to be a separate line item surcharge, to recover costs of t</w:t>
      </w:r>
      <w:r w:rsidR="00C97AAE">
        <w:rPr>
          <w:sz w:val="26"/>
          <w:szCs w:val="26"/>
        </w:rPr>
        <w:t xml:space="preserve">he EE&amp;C Plans.  FirstEnergy MB </w:t>
      </w:r>
      <w:r>
        <w:rPr>
          <w:sz w:val="26"/>
          <w:szCs w:val="26"/>
        </w:rPr>
        <w:t>at 41.  FirstEnergy believes that a separate line item provides transparencies, is consistent with the implementation of recent cost recovery rider charges, and increases the customer’s awareness of the energy efficiency and conservation plans.  FirstEnergy MB at 41; FirstEnergy Exh. RIP-3 at 1-3.  The three surcharges (residential, commercial and industrial) are comprised of two principal components: the EECc or “current cost” component and the “E” factor or reconciliation component.  The Current Cost component includes:</w:t>
      </w:r>
    </w:p>
    <w:p w:rsidR="00A666B0" w:rsidRDefault="00A666B0" w:rsidP="00A666B0">
      <w:pPr>
        <w:ind w:left="1440"/>
        <w:rPr>
          <w:sz w:val="26"/>
          <w:szCs w:val="26"/>
        </w:rPr>
      </w:pPr>
    </w:p>
    <w:p w:rsidR="00A666B0" w:rsidRDefault="00A666B0" w:rsidP="00A666B0">
      <w:pPr>
        <w:ind w:left="1440"/>
        <w:rPr>
          <w:sz w:val="26"/>
          <w:szCs w:val="26"/>
        </w:rPr>
      </w:pPr>
      <w:r>
        <w:rPr>
          <w:sz w:val="26"/>
          <w:szCs w:val="26"/>
        </w:rPr>
        <w:t xml:space="preserve">EEC </w:t>
      </w:r>
      <w:r w:rsidRPr="007D7066">
        <w:rPr>
          <w:sz w:val="26"/>
          <w:szCs w:val="26"/>
          <w:vertAlign w:val="subscript"/>
        </w:rPr>
        <w:t>Exp1</w:t>
      </w:r>
      <w:r>
        <w:rPr>
          <w:sz w:val="26"/>
          <w:szCs w:val="26"/>
        </w:rPr>
        <w:t>-Commission-approved costs incurred for EE&amp;C measures targeted to that customer class during the computational period, plus allocated computational period indirect costs incurred associated with all three FirstEnergy EE&amp;C Programs;</w:t>
      </w:r>
    </w:p>
    <w:p w:rsidR="00A666B0" w:rsidRDefault="00A666B0" w:rsidP="00A666B0">
      <w:pPr>
        <w:ind w:left="1440"/>
        <w:rPr>
          <w:sz w:val="26"/>
          <w:szCs w:val="26"/>
        </w:rPr>
      </w:pPr>
    </w:p>
    <w:p w:rsidR="00A666B0" w:rsidRDefault="00A666B0" w:rsidP="00A666B0">
      <w:pPr>
        <w:ind w:left="1440"/>
        <w:rPr>
          <w:sz w:val="26"/>
          <w:szCs w:val="26"/>
        </w:rPr>
      </w:pPr>
      <w:r>
        <w:rPr>
          <w:sz w:val="26"/>
          <w:szCs w:val="26"/>
        </w:rPr>
        <w:t xml:space="preserve">EEC </w:t>
      </w:r>
      <w:r w:rsidRPr="007D7066">
        <w:rPr>
          <w:sz w:val="26"/>
          <w:szCs w:val="26"/>
          <w:vertAlign w:val="subscript"/>
        </w:rPr>
        <w:t>Exp2</w:t>
      </w:r>
      <w:r>
        <w:rPr>
          <w:sz w:val="26"/>
          <w:szCs w:val="26"/>
        </w:rPr>
        <w:t>-Allocated portion of incremental administrative start-up costs incurred by FirstEnergy through October 31, 2009 representing development of the Companies’ Programs</w:t>
      </w:r>
      <w:r w:rsidR="0085650D">
        <w:rPr>
          <w:sz w:val="26"/>
          <w:szCs w:val="26"/>
        </w:rPr>
        <w:t>;</w:t>
      </w:r>
      <w:r>
        <w:rPr>
          <w:rStyle w:val="FootnoteReference"/>
          <w:sz w:val="26"/>
          <w:szCs w:val="26"/>
        </w:rPr>
        <w:footnoteReference w:id="34"/>
      </w:r>
      <w:r w:rsidR="0085650D">
        <w:rPr>
          <w:sz w:val="26"/>
          <w:szCs w:val="26"/>
        </w:rPr>
        <w:t xml:space="preserve"> </w:t>
      </w:r>
      <w:r>
        <w:rPr>
          <w:sz w:val="26"/>
          <w:szCs w:val="26"/>
        </w:rPr>
        <w:t>and</w:t>
      </w:r>
    </w:p>
    <w:p w:rsidR="00A666B0" w:rsidRDefault="00A666B0" w:rsidP="00A666B0">
      <w:pPr>
        <w:ind w:left="1440"/>
        <w:rPr>
          <w:sz w:val="26"/>
          <w:szCs w:val="26"/>
        </w:rPr>
      </w:pPr>
    </w:p>
    <w:p w:rsidR="00A666B0" w:rsidRDefault="00A666B0" w:rsidP="00A666B0">
      <w:pPr>
        <w:ind w:left="1440"/>
        <w:rPr>
          <w:sz w:val="26"/>
          <w:szCs w:val="26"/>
        </w:rPr>
      </w:pPr>
      <w:r>
        <w:rPr>
          <w:sz w:val="26"/>
          <w:szCs w:val="26"/>
        </w:rPr>
        <w:t xml:space="preserve">EEC </w:t>
      </w:r>
      <w:r w:rsidRPr="007D7066">
        <w:rPr>
          <w:sz w:val="26"/>
          <w:szCs w:val="26"/>
          <w:vertAlign w:val="subscript"/>
        </w:rPr>
        <w:t>Exp3</w:t>
      </w:r>
      <w:r>
        <w:rPr>
          <w:sz w:val="26"/>
          <w:szCs w:val="26"/>
        </w:rPr>
        <w:t xml:space="preserve">-Allocated portion of the FirstEnergy statewide evaluator contract cost which shall not be included within the Act’s </w:t>
      </w:r>
      <w:r w:rsidR="00B646BC">
        <w:rPr>
          <w:sz w:val="26"/>
          <w:szCs w:val="26"/>
        </w:rPr>
        <w:t>2%</w:t>
      </w:r>
      <w:r>
        <w:rPr>
          <w:sz w:val="26"/>
          <w:szCs w:val="26"/>
        </w:rPr>
        <w:t xml:space="preserve"> cap. </w:t>
      </w:r>
    </w:p>
    <w:p w:rsidR="00A666B0" w:rsidRDefault="00A666B0" w:rsidP="00A666B0">
      <w:pPr>
        <w:ind w:left="1440"/>
        <w:rPr>
          <w:sz w:val="26"/>
          <w:szCs w:val="26"/>
        </w:rPr>
      </w:pPr>
      <w:r>
        <w:rPr>
          <w:sz w:val="26"/>
          <w:szCs w:val="26"/>
        </w:rPr>
        <w:t xml:space="preserve"> </w:t>
      </w:r>
    </w:p>
    <w:p w:rsidR="00A666B0" w:rsidRDefault="00A666B0" w:rsidP="00A666B0">
      <w:pPr>
        <w:ind w:left="1440"/>
        <w:rPr>
          <w:sz w:val="26"/>
          <w:szCs w:val="26"/>
        </w:rPr>
      </w:pPr>
    </w:p>
    <w:p w:rsidR="00A666B0" w:rsidRDefault="00A666B0" w:rsidP="00A666B0">
      <w:pPr>
        <w:spacing w:line="360" w:lineRule="auto"/>
        <w:ind w:firstLine="1440"/>
        <w:rPr>
          <w:sz w:val="26"/>
          <w:szCs w:val="26"/>
        </w:rPr>
      </w:pPr>
      <w:r>
        <w:rPr>
          <w:sz w:val="26"/>
          <w:szCs w:val="26"/>
        </w:rPr>
        <w:lastRenderedPageBreak/>
        <w:t xml:space="preserve">FirstEnergy has developed its residential, commercial and industrial surcharges on a cents per kWh basis and all three surcharges will be reconciled annually.  FirstEnergy St. 3 at 11.  </w:t>
      </w:r>
    </w:p>
    <w:p w:rsidR="00A666B0" w:rsidRDefault="00A666B0" w:rsidP="00A666B0">
      <w:pPr>
        <w:spacing w:line="360" w:lineRule="auto"/>
        <w:ind w:firstLine="1440"/>
        <w:rPr>
          <w:sz w:val="26"/>
          <w:szCs w:val="26"/>
        </w:rPr>
      </w:pPr>
    </w:p>
    <w:p w:rsidR="00A666B0" w:rsidRDefault="00A666B0" w:rsidP="00A666B0">
      <w:pPr>
        <w:spacing w:line="360" w:lineRule="auto"/>
        <w:ind w:firstLine="1440"/>
        <w:rPr>
          <w:sz w:val="26"/>
          <w:szCs w:val="26"/>
        </w:rPr>
      </w:pPr>
      <w:r>
        <w:rPr>
          <w:sz w:val="26"/>
          <w:szCs w:val="26"/>
        </w:rPr>
        <w:t xml:space="preserve">The OSBA concurs that the recovery of Plan costs should be accomplished with a separate surcharge on each customer’s bill.  OSBA St. 1 at 7.  In support of its position, the OSBA states that the costs associated with the conservation program are subsidies to a subset of customers not distribution costs; the costs allocated to small C&amp;I customers is significant; customers will see the proposed surcharge as an increase in current distribution rates perhaps unrelated to FirstEnergy’s Plan; and a separate surcharge will help FirstEnergy’s communication efforts and will provide customers with a better understanding of the reason for the charge.  OSBA St. 1 at 9-10; OSBA </w:t>
      </w:r>
      <w:r w:rsidR="00D4599A">
        <w:rPr>
          <w:sz w:val="26"/>
          <w:szCs w:val="26"/>
        </w:rPr>
        <w:t>MB at </w:t>
      </w:r>
      <w:r>
        <w:rPr>
          <w:sz w:val="26"/>
          <w:szCs w:val="26"/>
        </w:rPr>
        <w:t>15.</w:t>
      </w:r>
    </w:p>
    <w:p w:rsidR="00A666B0" w:rsidRDefault="00A666B0" w:rsidP="00A666B0">
      <w:pPr>
        <w:spacing w:line="360" w:lineRule="auto"/>
        <w:ind w:firstLine="1440"/>
        <w:rPr>
          <w:sz w:val="26"/>
          <w:szCs w:val="26"/>
        </w:rPr>
      </w:pPr>
    </w:p>
    <w:p w:rsidR="00A666B0" w:rsidRPr="00D05C3D" w:rsidRDefault="00A666B0" w:rsidP="00A666B0">
      <w:pPr>
        <w:pStyle w:val="FootnoteText"/>
        <w:spacing w:line="360" w:lineRule="auto"/>
        <w:ind w:firstLine="1440"/>
        <w:rPr>
          <w:sz w:val="26"/>
          <w:szCs w:val="26"/>
        </w:rPr>
      </w:pPr>
      <w:r>
        <w:rPr>
          <w:sz w:val="26"/>
          <w:szCs w:val="26"/>
        </w:rPr>
        <w:t xml:space="preserve">MEIUG </w:t>
      </w:r>
      <w:r w:rsidRPr="00560D2A">
        <w:rPr>
          <w:i/>
          <w:sz w:val="26"/>
          <w:szCs w:val="26"/>
        </w:rPr>
        <w:t>et al</w:t>
      </w:r>
      <w:r>
        <w:rPr>
          <w:i/>
          <w:sz w:val="26"/>
          <w:szCs w:val="26"/>
        </w:rPr>
        <w:t>.</w:t>
      </w:r>
      <w:r>
        <w:rPr>
          <w:sz w:val="26"/>
          <w:szCs w:val="26"/>
        </w:rPr>
        <w:t xml:space="preserve"> agrees with the Company and the OSBA.  </w:t>
      </w:r>
      <w:r w:rsidR="00387EBF">
        <w:rPr>
          <w:sz w:val="26"/>
          <w:szCs w:val="26"/>
        </w:rPr>
        <w:t xml:space="preserve">MEIUG </w:t>
      </w:r>
      <w:r w:rsidR="00387EBF" w:rsidRPr="00560D2A">
        <w:rPr>
          <w:i/>
          <w:sz w:val="26"/>
          <w:szCs w:val="26"/>
        </w:rPr>
        <w:t>et al</w:t>
      </w:r>
      <w:r w:rsidR="00387EBF">
        <w:rPr>
          <w:i/>
          <w:sz w:val="26"/>
          <w:szCs w:val="26"/>
        </w:rPr>
        <w:t>.</w:t>
      </w:r>
      <w:r w:rsidR="00387EBF">
        <w:rPr>
          <w:sz w:val="26"/>
          <w:szCs w:val="26"/>
        </w:rPr>
        <w:t xml:space="preserve"> argues that </w:t>
      </w:r>
      <w:r w:rsidR="003958FA">
        <w:rPr>
          <w:sz w:val="26"/>
          <w:szCs w:val="26"/>
        </w:rPr>
        <w:t>separating the EEC-C from distribution charges will provide clarity and transparency, and will eliminate confusion with resp</w:t>
      </w:r>
      <w:r w:rsidR="00FD04FC">
        <w:rPr>
          <w:sz w:val="26"/>
          <w:szCs w:val="26"/>
        </w:rPr>
        <w:t>e</w:t>
      </w:r>
      <w:r w:rsidR="003958FA">
        <w:rPr>
          <w:sz w:val="26"/>
          <w:szCs w:val="26"/>
        </w:rPr>
        <w:t xml:space="preserve">ct to the services for which customers are paying each month.  </w:t>
      </w:r>
      <w:r>
        <w:rPr>
          <w:sz w:val="26"/>
          <w:szCs w:val="26"/>
        </w:rPr>
        <w:t xml:space="preserve">MEIUG </w:t>
      </w:r>
      <w:r w:rsidRPr="00560D2A">
        <w:rPr>
          <w:i/>
          <w:sz w:val="26"/>
          <w:szCs w:val="26"/>
        </w:rPr>
        <w:t>et a</w:t>
      </w:r>
      <w:r>
        <w:rPr>
          <w:i/>
          <w:sz w:val="26"/>
          <w:szCs w:val="26"/>
        </w:rPr>
        <w:t>l.</w:t>
      </w:r>
      <w:r w:rsidR="00387EBF">
        <w:rPr>
          <w:sz w:val="26"/>
          <w:szCs w:val="26"/>
        </w:rPr>
        <w:t xml:space="preserve"> MB at 20-21</w:t>
      </w:r>
      <w:r>
        <w:rPr>
          <w:sz w:val="26"/>
          <w:szCs w:val="26"/>
        </w:rPr>
        <w:t>.</w:t>
      </w:r>
      <w:r w:rsidRPr="00D05C3D">
        <w:rPr>
          <w:sz w:val="26"/>
          <w:szCs w:val="26"/>
        </w:rPr>
        <w:t xml:space="preserve"> </w:t>
      </w:r>
    </w:p>
    <w:p w:rsidR="00A666B0" w:rsidRDefault="00A666B0" w:rsidP="00A666B0">
      <w:pPr>
        <w:spacing w:line="360" w:lineRule="auto"/>
        <w:ind w:firstLine="1440"/>
        <w:rPr>
          <w:sz w:val="26"/>
          <w:szCs w:val="26"/>
        </w:rPr>
      </w:pPr>
    </w:p>
    <w:p w:rsidR="00A666B0" w:rsidRDefault="00A8501B" w:rsidP="00A666B0">
      <w:pPr>
        <w:spacing w:line="360" w:lineRule="auto"/>
        <w:ind w:firstLine="1440"/>
        <w:rPr>
          <w:sz w:val="26"/>
          <w:szCs w:val="26"/>
        </w:rPr>
      </w:pPr>
      <w:r>
        <w:rPr>
          <w:sz w:val="26"/>
          <w:szCs w:val="26"/>
        </w:rPr>
        <w:t xml:space="preserve">The OCA </w:t>
      </w:r>
      <w:r w:rsidR="00A666B0">
        <w:rPr>
          <w:sz w:val="26"/>
          <w:szCs w:val="26"/>
        </w:rPr>
        <w:t xml:space="preserve">believes that the EE&amp;C costs should be included for cost recovery </w:t>
      </w:r>
      <w:r w:rsidR="00D261F9">
        <w:rPr>
          <w:sz w:val="26"/>
          <w:szCs w:val="26"/>
        </w:rPr>
        <w:t xml:space="preserve">purposes within </w:t>
      </w:r>
      <w:r w:rsidR="00A666B0">
        <w:rPr>
          <w:sz w:val="26"/>
          <w:szCs w:val="26"/>
        </w:rPr>
        <w:t>t</w:t>
      </w:r>
      <w:r w:rsidR="00D261F9">
        <w:rPr>
          <w:sz w:val="26"/>
          <w:szCs w:val="26"/>
        </w:rPr>
        <w:t>he</w:t>
      </w:r>
      <w:r w:rsidR="00A666B0">
        <w:rPr>
          <w:sz w:val="26"/>
          <w:szCs w:val="26"/>
        </w:rPr>
        <w:t xml:space="preserve"> existing distribution charges, as opposed to listing a separate line item on the bill.  The OCA witness asserts that, while there are potential educational and transparency benefits to calling out the cost of energy efficiency programs as a line item on a customer’s bill, there are other, possibly more effective, ways of communicating this information.  The OCA asserts that the Companies should provide effective marketing to inform customers about the conservation programs.  The OCA suggests that a brochure giving information on the Companies’ energy efficiency programs could be included with the bill.  OCA St. 1 at 40; OCA MB at 39-40.</w:t>
      </w:r>
    </w:p>
    <w:p w:rsidR="006C52FF" w:rsidRDefault="006C52FF" w:rsidP="00486CBB">
      <w:pPr>
        <w:spacing w:line="360" w:lineRule="auto"/>
        <w:rPr>
          <w:sz w:val="26"/>
          <w:szCs w:val="26"/>
        </w:rPr>
      </w:pPr>
    </w:p>
    <w:p w:rsidR="00EE40FF" w:rsidRPr="00C105A3" w:rsidRDefault="00EE40FF" w:rsidP="00EE40FF">
      <w:pPr>
        <w:pStyle w:val="Heading5"/>
        <w:spacing w:line="240" w:lineRule="auto"/>
        <w:ind w:left="3600" w:hanging="720"/>
      </w:pPr>
      <w:bookmarkStart w:id="181" w:name="_Toc242516305"/>
      <w:bookmarkStart w:id="182" w:name="_Toc244499361"/>
      <w:r>
        <w:lastRenderedPageBreak/>
        <w:t>(2</w:t>
      </w:r>
      <w:r w:rsidRPr="00C105A3">
        <w:t xml:space="preserve">)  </w:t>
      </w:r>
      <w:r>
        <w:tab/>
        <w:t>Disposition</w:t>
      </w:r>
      <w:bookmarkEnd w:id="181"/>
      <w:bookmarkEnd w:id="182"/>
    </w:p>
    <w:p w:rsidR="006C52FF" w:rsidRDefault="006C52FF" w:rsidP="00486CBB">
      <w:pPr>
        <w:spacing w:line="360" w:lineRule="auto"/>
        <w:rPr>
          <w:sz w:val="26"/>
          <w:szCs w:val="26"/>
        </w:rPr>
      </w:pPr>
    </w:p>
    <w:p w:rsidR="009D1EF4" w:rsidRDefault="009D1EF4" w:rsidP="009D1EF4">
      <w:pPr>
        <w:pStyle w:val="NoSpacing"/>
        <w:spacing w:line="360" w:lineRule="auto"/>
        <w:ind w:firstLine="1440"/>
        <w:rPr>
          <w:rFonts w:ascii="Times New Roman" w:hAnsi="Times New Roman"/>
          <w:sz w:val="26"/>
          <w:szCs w:val="26"/>
        </w:rPr>
      </w:pPr>
      <w:r w:rsidRPr="00F734A1">
        <w:rPr>
          <w:rFonts w:ascii="Times New Roman" w:hAnsi="Times New Roman"/>
          <w:sz w:val="26"/>
          <w:szCs w:val="26"/>
        </w:rPr>
        <w:t>Consistent with the current Commission-approved approach regarding Section 1307(e) cost recovery mechanisms</w:t>
      </w:r>
      <w:r>
        <w:rPr>
          <w:rFonts w:ascii="Times New Roman" w:hAnsi="Times New Roman"/>
          <w:sz w:val="26"/>
          <w:szCs w:val="26"/>
        </w:rPr>
        <w:t>,</w:t>
      </w:r>
      <w:r w:rsidRPr="00F734A1">
        <w:rPr>
          <w:rFonts w:ascii="Times New Roman" w:hAnsi="Times New Roman"/>
          <w:sz w:val="26"/>
          <w:szCs w:val="26"/>
        </w:rPr>
        <w:t xml:space="preserve"> such as the Universal Service Funding Mechanism (“USFM”) and the Universal Service Program Long Term Evaluator, </w:t>
      </w:r>
      <w:r>
        <w:rPr>
          <w:rFonts w:ascii="Times New Roman" w:hAnsi="Times New Roman"/>
          <w:sz w:val="26"/>
          <w:szCs w:val="26"/>
        </w:rPr>
        <w:t xml:space="preserve">FirstEnergy’s </w:t>
      </w:r>
      <w:r w:rsidRPr="00F734A1">
        <w:rPr>
          <w:rFonts w:ascii="Times New Roman" w:hAnsi="Times New Roman"/>
          <w:sz w:val="26"/>
          <w:szCs w:val="26"/>
        </w:rPr>
        <w:t>EE&amp;C</w:t>
      </w:r>
      <w:r>
        <w:rPr>
          <w:rFonts w:ascii="Times New Roman" w:hAnsi="Times New Roman"/>
          <w:sz w:val="26"/>
          <w:szCs w:val="26"/>
        </w:rPr>
        <w:t xml:space="preserve"> Plan</w:t>
      </w:r>
      <w:r w:rsidRPr="00F734A1">
        <w:rPr>
          <w:rFonts w:ascii="Times New Roman" w:hAnsi="Times New Roman"/>
          <w:sz w:val="26"/>
          <w:szCs w:val="26"/>
        </w:rPr>
        <w:t xml:space="preserve"> costs should be </w:t>
      </w:r>
      <w:r>
        <w:rPr>
          <w:rFonts w:ascii="Times New Roman" w:hAnsi="Times New Roman"/>
          <w:sz w:val="26"/>
          <w:szCs w:val="26"/>
        </w:rPr>
        <w:t>recovered</w:t>
      </w:r>
      <w:r w:rsidRPr="00F734A1">
        <w:rPr>
          <w:rFonts w:ascii="Times New Roman" w:hAnsi="Times New Roman"/>
          <w:sz w:val="26"/>
          <w:szCs w:val="26"/>
        </w:rPr>
        <w:t xml:space="preserve"> in the distribution rate on customers’ bills.  The </w:t>
      </w:r>
      <w:r w:rsidRPr="003429AF">
        <w:rPr>
          <w:rFonts w:ascii="Times New Roman" w:hAnsi="Times New Roman"/>
          <w:sz w:val="26"/>
          <w:szCs w:val="26"/>
        </w:rPr>
        <w:t xml:space="preserve">Electricity Generation Customer Choice and Competition Act </w:t>
      </w:r>
      <w:r>
        <w:rPr>
          <w:rFonts w:ascii="Times New Roman" w:hAnsi="Times New Roman"/>
          <w:sz w:val="26"/>
          <w:szCs w:val="26"/>
        </w:rPr>
        <w:t>(</w:t>
      </w:r>
      <w:r w:rsidRPr="003429AF">
        <w:rPr>
          <w:rFonts w:ascii="Times New Roman" w:hAnsi="Times New Roman"/>
          <w:i/>
          <w:sz w:val="26"/>
          <w:szCs w:val="26"/>
        </w:rPr>
        <w:t>Competition Act</w:t>
      </w:r>
      <w:r w:rsidRPr="00F734A1">
        <w:rPr>
          <w:rFonts w:ascii="Times New Roman" w:hAnsi="Times New Roman"/>
          <w:sz w:val="26"/>
          <w:szCs w:val="26"/>
        </w:rPr>
        <w:t>) states that:</w:t>
      </w:r>
    </w:p>
    <w:p w:rsidR="009D1EF4" w:rsidRPr="00F734A1" w:rsidRDefault="009D1EF4" w:rsidP="009D1EF4">
      <w:pPr>
        <w:pStyle w:val="NoSpacing"/>
        <w:spacing w:line="360" w:lineRule="auto"/>
        <w:ind w:firstLine="1440"/>
        <w:rPr>
          <w:rFonts w:ascii="Times New Roman" w:hAnsi="Times New Roman"/>
          <w:sz w:val="26"/>
          <w:szCs w:val="26"/>
        </w:rPr>
      </w:pPr>
    </w:p>
    <w:p w:rsidR="009D1EF4" w:rsidRPr="00F734A1" w:rsidRDefault="009D1EF4" w:rsidP="009D1EF4">
      <w:pPr>
        <w:pStyle w:val="NoSpacing"/>
        <w:ind w:left="1440" w:right="1440"/>
        <w:rPr>
          <w:rFonts w:ascii="Times New Roman" w:hAnsi="Times New Roman"/>
          <w:sz w:val="26"/>
          <w:szCs w:val="26"/>
        </w:rPr>
      </w:pPr>
      <w:r>
        <w:rPr>
          <w:rFonts w:ascii="Times New Roman" w:hAnsi="Times New Roman"/>
          <w:sz w:val="26"/>
          <w:szCs w:val="26"/>
        </w:rPr>
        <w:t>There are certain public purpose costs, including programs for low-income assistance, energy conservation and others, which have been implemented and supported by public utilities’ bundled rates.  The public purpose is to be promoted by continuing universal service and energy conservation policies, protections and services, and full recovery of such costs is to be permitted through a nonbypassable rate mechanism.</w:t>
      </w:r>
    </w:p>
    <w:p w:rsidR="009D1EF4" w:rsidRPr="00F734A1" w:rsidRDefault="009D1EF4" w:rsidP="009D1EF4">
      <w:pPr>
        <w:pStyle w:val="NoSpacing"/>
        <w:spacing w:line="360" w:lineRule="auto"/>
        <w:rPr>
          <w:rFonts w:ascii="Times New Roman" w:hAnsi="Times New Roman"/>
          <w:sz w:val="26"/>
          <w:szCs w:val="26"/>
        </w:rPr>
      </w:pPr>
    </w:p>
    <w:p w:rsidR="00374371" w:rsidRDefault="009D1EF4" w:rsidP="00374371">
      <w:pPr>
        <w:pStyle w:val="ListParagraph"/>
        <w:tabs>
          <w:tab w:val="left" w:pos="0"/>
        </w:tabs>
        <w:spacing w:line="360" w:lineRule="auto"/>
        <w:ind w:left="0"/>
        <w:contextualSpacing w:val="0"/>
        <w:rPr>
          <w:sz w:val="26"/>
          <w:szCs w:val="26"/>
        </w:rPr>
      </w:pPr>
      <w:r w:rsidRPr="00F734A1">
        <w:rPr>
          <w:sz w:val="26"/>
          <w:szCs w:val="26"/>
        </w:rPr>
        <w:t xml:space="preserve">66 Pa. C.S. </w:t>
      </w:r>
      <w:r w:rsidRPr="00F734A1">
        <w:rPr>
          <w:sz w:val="26"/>
          <w:szCs w:val="26"/>
          <w:rtl/>
        </w:rPr>
        <w:t>§</w:t>
      </w:r>
      <w:r w:rsidRPr="00F734A1">
        <w:rPr>
          <w:sz w:val="26"/>
          <w:szCs w:val="26"/>
        </w:rPr>
        <w:t xml:space="preserve"> 2802(17).  </w:t>
      </w:r>
    </w:p>
    <w:p w:rsidR="00374371" w:rsidRDefault="00374371" w:rsidP="00374371">
      <w:pPr>
        <w:pStyle w:val="ListParagraph"/>
        <w:tabs>
          <w:tab w:val="left" w:pos="0"/>
        </w:tabs>
        <w:spacing w:line="360" w:lineRule="auto"/>
        <w:ind w:left="0"/>
        <w:contextualSpacing w:val="0"/>
        <w:rPr>
          <w:sz w:val="26"/>
          <w:szCs w:val="26"/>
        </w:rPr>
      </w:pPr>
    </w:p>
    <w:p w:rsidR="00374371" w:rsidRDefault="009D1EF4" w:rsidP="00374371">
      <w:pPr>
        <w:pStyle w:val="ListParagraph"/>
        <w:tabs>
          <w:tab w:val="left" w:pos="0"/>
        </w:tabs>
        <w:spacing w:line="360" w:lineRule="auto"/>
        <w:ind w:left="0" w:firstLine="1440"/>
        <w:contextualSpacing w:val="0"/>
        <w:rPr>
          <w:sz w:val="26"/>
          <w:szCs w:val="26"/>
        </w:rPr>
      </w:pPr>
      <w:r>
        <w:rPr>
          <w:sz w:val="26"/>
          <w:szCs w:val="26"/>
        </w:rPr>
        <w:t>Our R</w:t>
      </w:r>
      <w:r w:rsidRPr="00F734A1">
        <w:rPr>
          <w:sz w:val="26"/>
          <w:szCs w:val="26"/>
        </w:rPr>
        <w:t>egulations concerning billing format, 52 Pa. Code § 54.4</w:t>
      </w:r>
      <w:r w:rsidR="000F383E">
        <w:rPr>
          <w:sz w:val="26"/>
          <w:szCs w:val="26"/>
        </w:rPr>
        <w:t>(b)</w:t>
      </w:r>
      <w:r w:rsidRPr="00F734A1">
        <w:rPr>
          <w:sz w:val="26"/>
          <w:szCs w:val="26"/>
        </w:rPr>
        <w:t>(3), and billing information, 52 Pa. Code § 56.15</w:t>
      </w:r>
      <w:r>
        <w:rPr>
          <w:sz w:val="26"/>
          <w:szCs w:val="26"/>
        </w:rPr>
        <w:t xml:space="preserve">, are consistent with this section of the </w:t>
      </w:r>
      <w:r>
        <w:rPr>
          <w:i/>
          <w:sz w:val="26"/>
          <w:szCs w:val="26"/>
        </w:rPr>
        <w:t>Competition Act</w:t>
      </w:r>
      <w:r w:rsidRPr="00F734A1">
        <w:rPr>
          <w:sz w:val="26"/>
          <w:szCs w:val="26"/>
        </w:rPr>
        <w:t>.  Past practice recognizes distribution rates as the appropriate vehicle to incorporate rolled up cost-centers or to recover the costs of providing service that is not otherwise classified</w:t>
      </w:r>
      <w:r>
        <w:rPr>
          <w:sz w:val="26"/>
          <w:szCs w:val="26"/>
        </w:rPr>
        <w:t xml:space="preserve"> as transmission or generation.</w:t>
      </w:r>
      <w:r w:rsidRPr="00F734A1">
        <w:rPr>
          <w:sz w:val="26"/>
          <w:szCs w:val="26"/>
        </w:rPr>
        <w:t xml:space="preserve">  We find that the costs associated with an EE&amp;C program is such a cost and, therefore, should be included within </w:t>
      </w:r>
      <w:r>
        <w:rPr>
          <w:sz w:val="26"/>
          <w:szCs w:val="26"/>
        </w:rPr>
        <w:t>the Companies’</w:t>
      </w:r>
      <w:r w:rsidRPr="00F734A1">
        <w:rPr>
          <w:sz w:val="26"/>
          <w:szCs w:val="26"/>
        </w:rPr>
        <w:t xml:space="preserve"> distribution rate</w:t>
      </w:r>
      <w:r>
        <w:rPr>
          <w:sz w:val="26"/>
          <w:szCs w:val="26"/>
        </w:rPr>
        <w:t>s</w:t>
      </w:r>
      <w:r w:rsidRPr="00F734A1">
        <w:rPr>
          <w:sz w:val="26"/>
          <w:szCs w:val="26"/>
        </w:rPr>
        <w:t>.</w:t>
      </w:r>
      <w:r w:rsidR="00374371">
        <w:rPr>
          <w:sz w:val="26"/>
          <w:szCs w:val="26"/>
        </w:rPr>
        <w:t xml:space="preserve">  </w:t>
      </w:r>
      <w:r w:rsidR="00374371" w:rsidRPr="008F0F46">
        <w:rPr>
          <w:sz w:val="26"/>
          <w:szCs w:val="26"/>
        </w:rPr>
        <w:t>Accordingly</w:t>
      </w:r>
      <w:r w:rsidR="00226AE1">
        <w:rPr>
          <w:sz w:val="26"/>
          <w:szCs w:val="26"/>
        </w:rPr>
        <w:t>,</w:t>
      </w:r>
      <w:r w:rsidR="00374371" w:rsidRPr="008F0F46">
        <w:rPr>
          <w:sz w:val="26"/>
          <w:szCs w:val="26"/>
        </w:rPr>
        <w:t xml:space="preserve"> we </w:t>
      </w:r>
      <w:r w:rsidR="00374371">
        <w:rPr>
          <w:sz w:val="26"/>
          <w:szCs w:val="26"/>
        </w:rPr>
        <w:t xml:space="preserve">agree with the OCA and </w:t>
      </w:r>
      <w:r w:rsidR="00374371" w:rsidRPr="008F0F46">
        <w:rPr>
          <w:sz w:val="26"/>
          <w:szCs w:val="26"/>
        </w:rPr>
        <w:t xml:space="preserve">direct </w:t>
      </w:r>
      <w:r w:rsidR="00374371">
        <w:rPr>
          <w:sz w:val="26"/>
          <w:szCs w:val="26"/>
        </w:rPr>
        <w:t xml:space="preserve">the Companies </w:t>
      </w:r>
      <w:r w:rsidR="00255535">
        <w:rPr>
          <w:sz w:val="26"/>
          <w:szCs w:val="26"/>
        </w:rPr>
        <w:t>to incorporate recovery of their</w:t>
      </w:r>
      <w:r w:rsidR="00374371" w:rsidRPr="008F0F46">
        <w:rPr>
          <w:sz w:val="26"/>
          <w:szCs w:val="26"/>
        </w:rPr>
        <w:t xml:space="preserve"> approved EE&amp;C costs </w:t>
      </w:r>
      <w:r w:rsidR="00374371">
        <w:rPr>
          <w:sz w:val="26"/>
          <w:szCs w:val="26"/>
        </w:rPr>
        <w:t>as an</w:t>
      </w:r>
      <w:r w:rsidR="00A159D3">
        <w:rPr>
          <w:sz w:val="26"/>
          <w:szCs w:val="26"/>
        </w:rPr>
        <w:t xml:space="preserve"> addition to their</w:t>
      </w:r>
      <w:r w:rsidR="00374371" w:rsidRPr="008F0F46">
        <w:rPr>
          <w:sz w:val="26"/>
          <w:szCs w:val="26"/>
        </w:rPr>
        <w:t xml:space="preserve"> currently approved distribution rates.</w:t>
      </w:r>
      <w:r w:rsidR="00374371">
        <w:rPr>
          <w:sz w:val="26"/>
          <w:szCs w:val="26"/>
        </w:rPr>
        <w:t xml:space="preserve"> </w:t>
      </w:r>
    </w:p>
    <w:p w:rsidR="00374371" w:rsidRDefault="00374371" w:rsidP="00374371">
      <w:pPr>
        <w:pStyle w:val="ListParagraph"/>
        <w:tabs>
          <w:tab w:val="left" w:pos="0"/>
        </w:tabs>
        <w:spacing w:line="360" w:lineRule="auto"/>
        <w:ind w:left="0"/>
        <w:contextualSpacing w:val="0"/>
        <w:rPr>
          <w:sz w:val="26"/>
          <w:szCs w:val="26"/>
        </w:rPr>
      </w:pPr>
    </w:p>
    <w:p w:rsidR="009D1EF4" w:rsidRDefault="00374371" w:rsidP="00374371">
      <w:pPr>
        <w:spacing w:line="360" w:lineRule="auto"/>
        <w:ind w:firstLine="1440"/>
        <w:rPr>
          <w:sz w:val="26"/>
          <w:szCs w:val="26"/>
        </w:rPr>
      </w:pPr>
      <w:r>
        <w:rPr>
          <w:color w:val="000000"/>
          <w:sz w:val="26"/>
          <w:szCs w:val="26"/>
        </w:rPr>
        <w:t xml:space="preserve">We will, however, make an exception for both the </w:t>
      </w:r>
      <w:r w:rsidR="00EC448B">
        <w:rPr>
          <w:color w:val="000000"/>
          <w:sz w:val="26"/>
          <w:szCs w:val="26"/>
        </w:rPr>
        <w:t xml:space="preserve">commercial and industrial </w:t>
      </w:r>
      <w:r>
        <w:rPr>
          <w:color w:val="000000"/>
          <w:sz w:val="26"/>
          <w:szCs w:val="26"/>
        </w:rPr>
        <w:t xml:space="preserve">customer classes.  We are persuaded by the reasoning of the OSBA that </w:t>
      </w:r>
      <w:r w:rsidRPr="00EF32FA">
        <w:rPr>
          <w:sz w:val="26"/>
          <w:szCs w:val="26"/>
        </w:rPr>
        <w:t xml:space="preserve">the </w:t>
      </w:r>
      <w:r w:rsidRPr="00EF32FA">
        <w:rPr>
          <w:sz w:val="26"/>
          <w:szCs w:val="26"/>
        </w:rPr>
        <w:lastRenderedPageBreak/>
        <w:t xml:space="preserve">EE&amp;C program costs are material and may result in a significant rate increase.  </w:t>
      </w:r>
      <w:r>
        <w:rPr>
          <w:sz w:val="26"/>
          <w:szCs w:val="26"/>
        </w:rPr>
        <w:t>Commercial and industrial c</w:t>
      </w:r>
      <w:r w:rsidRPr="00EF32FA">
        <w:rPr>
          <w:sz w:val="26"/>
          <w:szCs w:val="26"/>
        </w:rPr>
        <w:t xml:space="preserve">ustomers will likely (albeit incorrectly) view this as a distribution rate increase </w:t>
      </w:r>
      <w:r>
        <w:rPr>
          <w:sz w:val="26"/>
          <w:szCs w:val="26"/>
        </w:rPr>
        <w:t>if</w:t>
      </w:r>
      <w:r w:rsidRPr="00EF32FA">
        <w:rPr>
          <w:sz w:val="26"/>
          <w:szCs w:val="26"/>
        </w:rPr>
        <w:t xml:space="preserve"> the charge </w:t>
      </w:r>
      <w:r w:rsidR="00617518">
        <w:rPr>
          <w:sz w:val="26"/>
          <w:szCs w:val="26"/>
        </w:rPr>
        <w:t xml:space="preserve">is </w:t>
      </w:r>
      <w:r w:rsidRPr="00EF32FA">
        <w:rPr>
          <w:sz w:val="26"/>
          <w:szCs w:val="26"/>
        </w:rPr>
        <w:t xml:space="preserve">buried in the distribution rate.  </w:t>
      </w:r>
      <w:r>
        <w:rPr>
          <w:color w:val="000000"/>
          <w:sz w:val="26"/>
          <w:szCs w:val="26"/>
        </w:rPr>
        <w:t>In the current economic environment, the itemization and identification of costs is increasingly critical for sophisticated business operators.  Therefore, we will approve the Companies’ proposal to list its</w:t>
      </w:r>
      <w:r w:rsidRPr="0083344D">
        <w:rPr>
          <w:color w:val="000000"/>
          <w:sz w:val="26"/>
          <w:szCs w:val="26"/>
        </w:rPr>
        <w:t xml:space="preserve"> </w:t>
      </w:r>
      <w:r>
        <w:rPr>
          <w:color w:val="000000"/>
          <w:sz w:val="26"/>
          <w:szCs w:val="26"/>
        </w:rPr>
        <w:t>EEC</w:t>
      </w:r>
      <w:r w:rsidR="0005126E">
        <w:rPr>
          <w:color w:val="000000"/>
          <w:sz w:val="26"/>
          <w:szCs w:val="26"/>
        </w:rPr>
        <w:t>-C</w:t>
      </w:r>
      <w:r w:rsidRPr="0083344D">
        <w:rPr>
          <w:color w:val="000000"/>
          <w:sz w:val="26"/>
          <w:szCs w:val="26"/>
        </w:rPr>
        <w:t xml:space="preserve"> </w:t>
      </w:r>
      <w:r w:rsidR="00EC448B">
        <w:rPr>
          <w:color w:val="000000"/>
          <w:sz w:val="26"/>
          <w:szCs w:val="26"/>
        </w:rPr>
        <w:t xml:space="preserve">Rider </w:t>
      </w:r>
      <w:r>
        <w:rPr>
          <w:color w:val="000000"/>
          <w:sz w:val="26"/>
          <w:szCs w:val="26"/>
        </w:rPr>
        <w:t>as a separate line item</w:t>
      </w:r>
      <w:r w:rsidRPr="0083344D">
        <w:rPr>
          <w:color w:val="000000"/>
          <w:sz w:val="26"/>
          <w:szCs w:val="26"/>
        </w:rPr>
        <w:t xml:space="preserve"> on </w:t>
      </w:r>
      <w:r w:rsidR="002F6AD0">
        <w:rPr>
          <w:color w:val="000000"/>
          <w:sz w:val="26"/>
          <w:szCs w:val="26"/>
        </w:rPr>
        <w:t xml:space="preserve">commercial and industrial </w:t>
      </w:r>
      <w:r w:rsidRPr="0083344D">
        <w:rPr>
          <w:color w:val="000000"/>
          <w:sz w:val="26"/>
          <w:szCs w:val="26"/>
        </w:rPr>
        <w:t>customers’ bills</w:t>
      </w:r>
      <w:r>
        <w:rPr>
          <w:color w:val="000000"/>
          <w:sz w:val="26"/>
          <w:szCs w:val="26"/>
        </w:rPr>
        <w:t>.</w:t>
      </w:r>
    </w:p>
    <w:p w:rsidR="009D1EF4" w:rsidRDefault="009D1EF4" w:rsidP="00486CBB">
      <w:pPr>
        <w:spacing w:line="360" w:lineRule="auto"/>
        <w:rPr>
          <w:sz w:val="26"/>
          <w:szCs w:val="26"/>
        </w:rPr>
      </w:pPr>
    </w:p>
    <w:p w:rsidR="00B32FDD" w:rsidRDefault="00B32FDD" w:rsidP="00B32FDD">
      <w:pPr>
        <w:pStyle w:val="Heading4"/>
        <w:spacing w:line="240" w:lineRule="auto"/>
        <w:ind w:left="2880" w:hanging="720"/>
      </w:pPr>
      <w:bookmarkStart w:id="183" w:name="_Toc242516306"/>
      <w:bookmarkStart w:id="184" w:name="_Toc244499362"/>
      <w:r>
        <w:t>c</w:t>
      </w:r>
      <w:r w:rsidR="001E3672">
        <w:t>.</w:t>
      </w:r>
      <w:r>
        <w:tab/>
        <w:t>Interest</w:t>
      </w:r>
      <w:r w:rsidR="00226AE1">
        <w:t xml:space="preserve"> on Over</w:t>
      </w:r>
      <w:r w:rsidR="00BE1219">
        <w:t>/Under</w:t>
      </w:r>
      <w:r>
        <w:t xml:space="preserve"> Collections</w:t>
      </w:r>
      <w:bookmarkEnd w:id="183"/>
      <w:bookmarkEnd w:id="184"/>
    </w:p>
    <w:p w:rsidR="00B32FDD" w:rsidRDefault="00B32FDD" w:rsidP="00B32FDD"/>
    <w:p w:rsidR="00B32FDD" w:rsidRPr="00B32FDD" w:rsidRDefault="00B32FDD" w:rsidP="00B32FDD"/>
    <w:p w:rsidR="00B32FDD" w:rsidRPr="00C105A3" w:rsidRDefault="00B32FDD" w:rsidP="00B32FDD">
      <w:pPr>
        <w:pStyle w:val="Heading5"/>
        <w:spacing w:line="240" w:lineRule="auto"/>
        <w:ind w:left="3600" w:hanging="720"/>
      </w:pPr>
      <w:bookmarkStart w:id="185" w:name="_Toc242516307"/>
      <w:bookmarkStart w:id="186" w:name="_Toc244499363"/>
      <w:r>
        <w:t>(1</w:t>
      </w:r>
      <w:r w:rsidRPr="00C105A3">
        <w:t xml:space="preserve">)  </w:t>
      </w:r>
      <w:r>
        <w:tab/>
        <w:t>Positions of the Parties</w:t>
      </w:r>
      <w:bookmarkEnd w:id="185"/>
      <w:bookmarkEnd w:id="186"/>
    </w:p>
    <w:p w:rsidR="006C52FF" w:rsidRDefault="006C52FF" w:rsidP="00486CBB">
      <w:pPr>
        <w:spacing w:line="360" w:lineRule="auto"/>
        <w:rPr>
          <w:sz w:val="26"/>
          <w:szCs w:val="26"/>
        </w:rPr>
      </w:pPr>
    </w:p>
    <w:p w:rsidR="004025BD" w:rsidRDefault="00066FA5" w:rsidP="004025BD">
      <w:pPr>
        <w:spacing w:line="360" w:lineRule="auto"/>
        <w:ind w:firstLine="1440"/>
        <w:rPr>
          <w:sz w:val="26"/>
          <w:szCs w:val="26"/>
        </w:rPr>
      </w:pPr>
      <w:r>
        <w:rPr>
          <w:sz w:val="26"/>
          <w:szCs w:val="26"/>
        </w:rPr>
        <w:t xml:space="preserve">FirstEnergy’s Plans do not </w:t>
      </w:r>
      <w:r w:rsidR="00EE36E5">
        <w:rPr>
          <w:sz w:val="26"/>
          <w:szCs w:val="26"/>
        </w:rPr>
        <w:t xml:space="preserve">provide for the payment of interest on </w:t>
      </w:r>
      <w:r w:rsidR="00BE1219">
        <w:rPr>
          <w:sz w:val="26"/>
          <w:szCs w:val="26"/>
        </w:rPr>
        <w:t>over/under</w:t>
      </w:r>
      <w:r w:rsidR="00EE36E5">
        <w:rPr>
          <w:sz w:val="26"/>
          <w:szCs w:val="26"/>
        </w:rPr>
        <w:t xml:space="preserve"> collections of Plan costs.  </w:t>
      </w:r>
      <w:r w:rsidR="004025BD">
        <w:rPr>
          <w:sz w:val="26"/>
          <w:szCs w:val="26"/>
        </w:rPr>
        <w:t xml:space="preserve">FirstEnergy believes that </w:t>
      </w:r>
      <w:r w:rsidR="00862D33">
        <w:rPr>
          <w:sz w:val="26"/>
          <w:szCs w:val="26"/>
        </w:rPr>
        <w:t>the payment of interest is not appropriate</w:t>
      </w:r>
      <w:r w:rsidR="00E561F4">
        <w:rPr>
          <w:sz w:val="26"/>
          <w:szCs w:val="26"/>
        </w:rPr>
        <w:t xml:space="preserve"> because the </w:t>
      </w:r>
      <w:r w:rsidR="004025BD">
        <w:rPr>
          <w:sz w:val="26"/>
          <w:szCs w:val="26"/>
        </w:rPr>
        <w:t>Plan</w:t>
      </w:r>
      <w:r w:rsidR="00E561F4">
        <w:rPr>
          <w:sz w:val="26"/>
          <w:szCs w:val="26"/>
        </w:rPr>
        <w:t>s</w:t>
      </w:r>
      <w:r w:rsidR="004025BD">
        <w:rPr>
          <w:sz w:val="26"/>
          <w:szCs w:val="26"/>
        </w:rPr>
        <w:t xml:space="preserve"> </w:t>
      </w:r>
      <w:r w:rsidR="00E561F4">
        <w:rPr>
          <w:sz w:val="26"/>
          <w:szCs w:val="26"/>
        </w:rPr>
        <w:t xml:space="preserve">call for </w:t>
      </w:r>
      <w:r w:rsidR="004025BD">
        <w:rPr>
          <w:sz w:val="26"/>
          <w:szCs w:val="26"/>
        </w:rPr>
        <w:t xml:space="preserve">levelized </w:t>
      </w:r>
      <w:r w:rsidR="00E561F4">
        <w:rPr>
          <w:sz w:val="26"/>
          <w:szCs w:val="26"/>
        </w:rPr>
        <w:t xml:space="preserve">EEC-C </w:t>
      </w:r>
      <w:r w:rsidR="004025BD">
        <w:rPr>
          <w:sz w:val="26"/>
          <w:szCs w:val="26"/>
        </w:rPr>
        <w:t>rate</w:t>
      </w:r>
      <w:r w:rsidR="00E561F4">
        <w:rPr>
          <w:sz w:val="26"/>
          <w:szCs w:val="26"/>
        </w:rPr>
        <w:t>s over the life of the Plans, but the costs of implementing the Plans vary significantly from year to year</w:t>
      </w:r>
      <w:r w:rsidR="00AB2F18">
        <w:rPr>
          <w:sz w:val="26"/>
          <w:szCs w:val="26"/>
        </w:rPr>
        <w:t>.  FirstEnergy St.</w:t>
      </w:r>
      <w:r w:rsidR="004025BD">
        <w:rPr>
          <w:sz w:val="26"/>
          <w:szCs w:val="26"/>
        </w:rPr>
        <w:t xml:space="preserve"> 3-R</w:t>
      </w:r>
      <w:r w:rsidR="00E561F4">
        <w:rPr>
          <w:sz w:val="26"/>
          <w:szCs w:val="26"/>
        </w:rPr>
        <w:t xml:space="preserve"> at</w:t>
      </w:r>
      <w:r w:rsidR="004025BD">
        <w:rPr>
          <w:sz w:val="26"/>
          <w:szCs w:val="26"/>
        </w:rPr>
        <w:t xml:space="preserve"> 6.</w:t>
      </w:r>
    </w:p>
    <w:p w:rsidR="004025BD" w:rsidRDefault="004025BD" w:rsidP="004025BD">
      <w:pPr>
        <w:spacing w:line="360" w:lineRule="auto"/>
        <w:ind w:firstLine="1440"/>
        <w:rPr>
          <w:sz w:val="26"/>
          <w:szCs w:val="26"/>
        </w:rPr>
      </w:pPr>
    </w:p>
    <w:p w:rsidR="004025BD" w:rsidRDefault="004025BD" w:rsidP="004025BD">
      <w:pPr>
        <w:spacing w:line="360" w:lineRule="auto"/>
        <w:ind w:firstLine="1440"/>
        <w:rPr>
          <w:sz w:val="26"/>
          <w:szCs w:val="26"/>
        </w:rPr>
      </w:pPr>
      <w:r>
        <w:rPr>
          <w:sz w:val="26"/>
          <w:szCs w:val="26"/>
        </w:rPr>
        <w:t>The OTS recommends that the Commission modify the Companies</w:t>
      </w:r>
      <w:r w:rsidR="00E561F4">
        <w:rPr>
          <w:sz w:val="26"/>
          <w:szCs w:val="26"/>
        </w:rPr>
        <w:t>’</w:t>
      </w:r>
      <w:r>
        <w:rPr>
          <w:sz w:val="26"/>
          <w:szCs w:val="26"/>
        </w:rPr>
        <w:t xml:space="preserve"> Plans to allow for non-recoverable (as a Plan cost) interest charges of 8% for over-collections and 6% for under-collections.  The OTS submits that this proposal is consistent with Commission practice, Commission Regulations and the Code.  </w:t>
      </w:r>
      <w:r w:rsidR="00A159D3">
        <w:rPr>
          <w:sz w:val="26"/>
          <w:szCs w:val="26"/>
        </w:rPr>
        <w:t xml:space="preserve">The </w:t>
      </w:r>
      <w:r w:rsidRPr="005E6DE7">
        <w:rPr>
          <w:sz w:val="26"/>
          <w:szCs w:val="26"/>
        </w:rPr>
        <w:t xml:space="preserve">OTS further maintains that these interest costs should be excluded from the Company’s total allowable EE&amp;C Plan costs and should not be recovered in any future proceeding.  </w:t>
      </w:r>
      <w:r>
        <w:rPr>
          <w:sz w:val="26"/>
          <w:szCs w:val="26"/>
        </w:rPr>
        <w:t xml:space="preserve">OTS MB </w:t>
      </w:r>
      <w:r w:rsidR="00E561F4">
        <w:rPr>
          <w:sz w:val="26"/>
          <w:szCs w:val="26"/>
        </w:rPr>
        <w:t>at</w:t>
      </w:r>
      <w:r>
        <w:rPr>
          <w:sz w:val="26"/>
          <w:szCs w:val="26"/>
        </w:rPr>
        <w:t xml:space="preserve"> 22</w:t>
      </w:r>
      <w:r w:rsidR="00E561F4">
        <w:rPr>
          <w:sz w:val="26"/>
          <w:szCs w:val="26"/>
        </w:rPr>
        <w:t>-</w:t>
      </w:r>
      <w:r>
        <w:rPr>
          <w:sz w:val="26"/>
          <w:szCs w:val="26"/>
        </w:rPr>
        <w:t>23.  The OTS also states that notwithstanding the violation of prudent regulatory standards</w:t>
      </w:r>
      <w:r w:rsidR="006D34C4">
        <w:rPr>
          <w:sz w:val="26"/>
          <w:szCs w:val="26"/>
        </w:rPr>
        <w:t>,</w:t>
      </w:r>
      <w:r>
        <w:rPr>
          <w:sz w:val="26"/>
          <w:szCs w:val="26"/>
        </w:rPr>
        <w:t xml:space="preserve"> wherein the recovery of Plan costs would be matched to actual Plan expenses, the no-interest proposal here is more egregious because it provides the Companies with an opportunity to earn interest income from a large amount of ratepayer provided funds.  OTS MB </w:t>
      </w:r>
      <w:r w:rsidR="006D34C4">
        <w:rPr>
          <w:sz w:val="26"/>
          <w:szCs w:val="26"/>
        </w:rPr>
        <w:t>at</w:t>
      </w:r>
      <w:r>
        <w:rPr>
          <w:sz w:val="26"/>
          <w:szCs w:val="26"/>
        </w:rPr>
        <w:t xml:space="preserve"> 29.  </w:t>
      </w:r>
    </w:p>
    <w:p w:rsidR="004025BD" w:rsidRDefault="004025BD" w:rsidP="004025BD">
      <w:pPr>
        <w:spacing w:line="360" w:lineRule="auto"/>
        <w:ind w:firstLine="1440"/>
        <w:rPr>
          <w:sz w:val="26"/>
          <w:szCs w:val="26"/>
        </w:rPr>
      </w:pPr>
    </w:p>
    <w:p w:rsidR="004025BD" w:rsidRDefault="004025BD" w:rsidP="004025BD">
      <w:pPr>
        <w:spacing w:line="360" w:lineRule="auto"/>
        <w:ind w:firstLine="1440"/>
        <w:rPr>
          <w:sz w:val="26"/>
          <w:szCs w:val="26"/>
        </w:rPr>
      </w:pPr>
      <w:r>
        <w:rPr>
          <w:sz w:val="26"/>
          <w:szCs w:val="26"/>
        </w:rPr>
        <w:t>The OCA</w:t>
      </w:r>
      <w:r w:rsidRPr="0009600B">
        <w:rPr>
          <w:sz w:val="26"/>
          <w:szCs w:val="26"/>
        </w:rPr>
        <w:t xml:space="preserve"> support</w:t>
      </w:r>
      <w:r>
        <w:rPr>
          <w:sz w:val="26"/>
          <w:szCs w:val="26"/>
        </w:rPr>
        <w:t>s</w:t>
      </w:r>
      <w:r w:rsidRPr="0009600B">
        <w:rPr>
          <w:sz w:val="26"/>
          <w:szCs w:val="26"/>
        </w:rPr>
        <w:t xml:space="preserve"> </w:t>
      </w:r>
      <w:r>
        <w:rPr>
          <w:sz w:val="26"/>
          <w:szCs w:val="26"/>
        </w:rPr>
        <w:t>FirstEnergy</w:t>
      </w:r>
      <w:r w:rsidRPr="0009600B">
        <w:rPr>
          <w:sz w:val="26"/>
          <w:szCs w:val="26"/>
        </w:rPr>
        <w:t>’s proposal</w:t>
      </w:r>
      <w:r>
        <w:rPr>
          <w:sz w:val="26"/>
          <w:szCs w:val="26"/>
        </w:rPr>
        <w:t xml:space="preserve"> that no</w:t>
      </w:r>
      <w:r w:rsidRPr="0009600B">
        <w:rPr>
          <w:sz w:val="26"/>
          <w:szCs w:val="26"/>
        </w:rPr>
        <w:t xml:space="preserve"> interest</w:t>
      </w:r>
      <w:r>
        <w:rPr>
          <w:sz w:val="26"/>
          <w:szCs w:val="26"/>
        </w:rPr>
        <w:t xml:space="preserve"> be charged</w:t>
      </w:r>
      <w:r w:rsidRPr="0009600B">
        <w:rPr>
          <w:sz w:val="26"/>
          <w:szCs w:val="26"/>
        </w:rPr>
        <w:t xml:space="preserve"> on any </w:t>
      </w:r>
      <w:r w:rsidR="00BE1219">
        <w:rPr>
          <w:sz w:val="26"/>
          <w:szCs w:val="26"/>
        </w:rPr>
        <w:t>over/under</w:t>
      </w:r>
      <w:r w:rsidR="00226AE1">
        <w:rPr>
          <w:sz w:val="26"/>
          <w:szCs w:val="26"/>
        </w:rPr>
        <w:t xml:space="preserve"> </w:t>
      </w:r>
      <w:r w:rsidRPr="0009600B">
        <w:rPr>
          <w:sz w:val="26"/>
          <w:szCs w:val="26"/>
        </w:rPr>
        <w:t>collection</w:t>
      </w:r>
      <w:r w:rsidR="0021596A">
        <w:rPr>
          <w:sz w:val="26"/>
          <w:szCs w:val="26"/>
        </w:rPr>
        <w:t xml:space="preserve"> of </w:t>
      </w:r>
      <w:r>
        <w:rPr>
          <w:sz w:val="26"/>
          <w:szCs w:val="26"/>
        </w:rPr>
        <w:t>Plan costs.</w:t>
      </w:r>
      <w:r w:rsidRPr="0009600B">
        <w:rPr>
          <w:sz w:val="26"/>
          <w:szCs w:val="26"/>
        </w:rPr>
        <w:t xml:space="preserve">  </w:t>
      </w:r>
      <w:r>
        <w:rPr>
          <w:sz w:val="26"/>
          <w:szCs w:val="26"/>
        </w:rPr>
        <w:t xml:space="preserve">OCA MB </w:t>
      </w:r>
      <w:r w:rsidR="006D34C4">
        <w:rPr>
          <w:sz w:val="26"/>
          <w:szCs w:val="26"/>
        </w:rPr>
        <w:t>at</w:t>
      </w:r>
      <w:r>
        <w:rPr>
          <w:sz w:val="26"/>
          <w:szCs w:val="26"/>
        </w:rPr>
        <w:t xml:space="preserve"> 38.  The OCA asserts that t</w:t>
      </w:r>
      <w:r w:rsidRPr="0009600B">
        <w:rPr>
          <w:sz w:val="26"/>
          <w:szCs w:val="26"/>
        </w:rPr>
        <w:t xml:space="preserve">he </w:t>
      </w:r>
      <w:r w:rsidR="00B646BC">
        <w:rPr>
          <w:sz w:val="26"/>
          <w:szCs w:val="26"/>
        </w:rPr>
        <w:t xml:space="preserve">2% </w:t>
      </w:r>
      <w:r w:rsidRPr="0009600B">
        <w:rPr>
          <w:sz w:val="26"/>
          <w:szCs w:val="26"/>
        </w:rPr>
        <w:t xml:space="preserve">spending </w:t>
      </w:r>
      <w:r w:rsidR="00CD4813">
        <w:rPr>
          <w:sz w:val="26"/>
          <w:szCs w:val="26"/>
        </w:rPr>
        <w:t xml:space="preserve">cap </w:t>
      </w:r>
      <w:r w:rsidRPr="0009600B">
        <w:rPr>
          <w:sz w:val="26"/>
          <w:szCs w:val="26"/>
        </w:rPr>
        <w:t xml:space="preserve">contained in the Act does not contemplate interest charges.  </w:t>
      </w:r>
      <w:r>
        <w:rPr>
          <w:sz w:val="26"/>
          <w:szCs w:val="26"/>
        </w:rPr>
        <w:t>FirstEnergy</w:t>
      </w:r>
      <w:r w:rsidRPr="0009600B">
        <w:rPr>
          <w:sz w:val="26"/>
          <w:szCs w:val="26"/>
        </w:rPr>
        <w:t xml:space="preserve"> should not impose interest on the </w:t>
      </w:r>
      <w:r w:rsidR="00BE1219">
        <w:rPr>
          <w:sz w:val="26"/>
          <w:szCs w:val="26"/>
        </w:rPr>
        <w:t>over/under</w:t>
      </w:r>
      <w:r w:rsidR="00226AE1">
        <w:rPr>
          <w:sz w:val="26"/>
          <w:szCs w:val="26"/>
        </w:rPr>
        <w:t xml:space="preserve"> </w:t>
      </w:r>
      <w:r w:rsidRPr="0009600B">
        <w:rPr>
          <w:sz w:val="26"/>
          <w:szCs w:val="26"/>
        </w:rPr>
        <w:t xml:space="preserve">collections of its cost recovery mechanism, particularly if such interest would result in customers paying more than </w:t>
      </w:r>
      <w:r w:rsidR="00B646BC">
        <w:rPr>
          <w:sz w:val="26"/>
          <w:szCs w:val="26"/>
        </w:rPr>
        <w:t>the 2%</w:t>
      </w:r>
      <w:r>
        <w:rPr>
          <w:sz w:val="26"/>
          <w:szCs w:val="26"/>
        </w:rPr>
        <w:t xml:space="preserve"> </w:t>
      </w:r>
      <w:r w:rsidR="006D34C4">
        <w:rPr>
          <w:sz w:val="26"/>
          <w:szCs w:val="26"/>
        </w:rPr>
        <w:t>cost cap allowed by the Act</w:t>
      </w:r>
      <w:r w:rsidRPr="0009600B">
        <w:rPr>
          <w:sz w:val="26"/>
          <w:szCs w:val="26"/>
        </w:rPr>
        <w:t>.</w:t>
      </w:r>
      <w:r>
        <w:rPr>
          <w:sz w:val="26"/>
          <w:szCs w:val="26"/>
        </w:rPr>
        <w:t xml:space="preserve"> </w:t>
      </w:r>
      <w:r w:rsidRPr="0009600B">
        <w:rPr>
          <w:sz w:val="26"/>
          <w:szCs w:val="26"/>
        </w:rPr>
        <w:t xml:space="preserve"> </w:t>
      </w:r>
      <w:r>
        <w:rPr>
          <w:sz w:val="26"/>
          <w:szCs w:val="26"/>
        </w:rPr>
        <w:t xml:space="preserve">OCA MB </w:t>
      </w:r>
      <w:r w:rsidR="00AB5041">
        <w:rPr>
          <w:sz w:val="26"/>
          <w:szCs w:val="26"/>
        </w:rPr>
        <w:t>at</w:t>
      </w:r>
      <w:r>
        <w:rPr>
          <w:sz w:val="26"/>
          <w:szCs w:val="26"/>
        </w:rPr>
        <w:t xml:space="preserve"> 38.</w:t>
      </w:r>
    </w:p>
    <w:p w:rsidR="00B32FDD" w:rsidRDefault="00B32FDD" w:rsidP="00486CBB">
      <w:pPr>
        <w:spacing w:line="360" w:lineRule="auto"/>
        <w:rPr>
          <w:sz w:val="26"/>
          <w:szCs w:val="26"/>
        </w:rPr>
      </w:pPr>
    </w:p>
    <w:p w:rsidR="00B32FDD" w:rsidRDefault="00B32FDD" w:rsidP="0021596A">
      <w:pPr>
        <w:pStyle w:val="Heading5"/>
        <w:ind w:left="3600" w:hanging="720"/>
      </w:pPr>
      <w:bookmarkStart w:id="187" w:name="_Toc242516308"/>
      <w:bookmarkStart w:id="188" w:name="_Toc244499364"/>
      <w:r>
        <w:t>(2</w:t>
      </w:r>
      <w:r w:rsidRPr="00C105A3">
        <w:t xml:space="preserve">)  </w:t>
      </w:r>
      <w:r>
        <w:tab/>
        <w:t>Disposition</w:t>
      </w:r>
      <w:bookmarkEnd w:id="187"/>
      <w:bookmarkEnd w:id="188"/>
    </w:p>
    <w:p w:rsidR="0021596A" w:rsidRDefault="0021596A" w:rsidP="0021596A"/>
    <w:p w:rsidR="0021596A" w:rsidRPr="0021596A" w:rsidRDefault="0021596A" w:rsidP="0021596A">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21596A">
        <w:rPr>
          <w:sz w:val="26"/>
          <w:szCs w:val="26"/>
        </w:rPr>
        <w:t>Act 12</w:t>
      </w:r>
      <w:r w:rsidR="00226AE1">
        <w:rPr>
          <w:sz w:val="26"/>
          <w:szCs w:val="26"/>
        </w:rPr>
        <w:t xml:space="preserve">9 does not address whether </w:t>
      </w:r>
      <w:r w:rsidR="00BE1219">
        <w:rPr>
          <w:sz w:val="26"/>
          <w:szCs w:val="26"/>
        </w:rPr>
        <w:t>over/under</w:t>
      </w:r>
      <w:r w:rsidRPr="0021596A">
        <w:rPr>
          <w:sz w:val="26"/>
          <w:szCs w:val="26"/>
        </w:rPr>
        <w:t xml:space="preserve"> collections are subject to interest.  The </w:t>
      </w:r>
      <w:r w:rsidRPr="0021596A">
        <w:rPr>
          <w:i/>
          <w:sz w:val="26"/>
          <w:szCs w:val="26"/>
        </w:rPr>
        <w:t>Implementation Order</w:t>
      </w:r>
      <w:r w:rsidRPr="0021596A">
        <w:rPr>
          <w:sz w:val="26"/>
          <w:szCs w:val="26"/>
        </w:rPr>
        <w:t xml:space="preserve"> and case law also are silent on this issue.  The Act does require recovery of “all reasonable and prudent costs incurred in the provision or management of a plan under this section” on a full and current basis through a reconcilable adjustment clause under Section 1307 of the Code.  66 Pa. C.S. § 2806.1(k)(1).  With no statutory directive or case law requirement to impos</w:t>
      </w:r>
      <w:r w:rsidR="00226AE1">
        <w:rPr>
          <w:sz w:val="26"/>
          <w:szCs w:val="26"/>
        </w:rPr>
        <w:t xml:space="preserve">e interest, we conclude that </w:t>
      </w:r>
      <w:r w:rsidR="00BE1219">
        <w:rPr>
          <w:sz w:val="26"/>
          <w:szCs w:val="26"/>
        </w:rPr>
        <w:t>over/under</w:t>
      </w:r>
      <w:r w:rsidRPr="0021596A">
        <w:rPr>
          <w:sz w:val="26"/>
          <w:szCs w:val="26"/>
        </w:rPr>
        <w:t xml:space="preserve"> collections are not subject to interest.</w:t>
      </w:r>
    </w:p>
    <w:p w:rsidR="0021596A" w:rsidRPr="0021596A" w:rsidRDefault="0021596A" w:rsidP="002B3184">
      <w:pPr>
        <w:spacing w:line="360" w:lineRule="auto"/>
      </w:pPr>
    </w:p>
    <w:p w:rsidR="00B32FDD" w:rsidRDefault="00B32FDD" w:rsidP="00B32FDD">
      <w:pPr>
        <w:pStyle w:val="Heading4"/>
        <w:spacing w:line="240" w:lineRule="auto"/>
        <w:ind w:left="2880" w:hanging="720"/>
      </w:pPr>
      <w:bookmarkStart w:id="189" w:name="_Toc242516309"/>
      <w:bookmarkStart w:id="190" w:name="_Toc244499365"/>
      <w:r>
        <w:t>d</w:t>
      </w:r>
      <w:r w:rsidR="001E3672">
        <w:t>.</w:t>
      </w:r>
      <w:r>
        <w:tab/>
        <w:t>Interest Associated with the Recovery of Start-up Costs</w:t>
      </w:r>
      <w:bookmarkEnd w:id="189"/>
      <w:bookmarkEnd w:id="190"/>
    </w:p>
    <w:p w:rsidR="00B32FDD" w:rsidRDefault="00B32FDD" w:rsidP="00B32FDD"/>
    <w:p w:rsidR="00B32FDD" w:rsidRPr="00B32FDD" w:rsidRDefault="00B32FDD" w:rsidP="00B32FDD"/>
    <w:p w:rsidR="00B32FDD" w:rsidRPr="00C105A3" w:rsidRDefault="00B32FDD" w:rsidP="00B32FDD">
      <w:pPr>
        <w:pStyle w:val="Heading5"/>
        <w:spacing w:line="240" w:lineRule="auto"/>
        <w:ind w:left="3600" w:hanging="720"/>
      </w:pPr>
      <w:bookmarkStart w:id="191" w:name="_Toc242516310"/>
      <w:bookmarkStart w:id="192" w:name="_Toc244499366"/>
      <w:r>
        <w:t>(1</w:t>
      </w:r>
      <w:r w:rsidRPr="00C105A3">
        <w:t xml:space="preserve">)  </w:t>
      </w:r>
      <w:r>
        <w:tab/>
        <w:t>Positions of the Parties</w:t>
      </w:r>
      <w:bookmarkEnd w:id="191"/>
      <w:bookmarkEnd w:id="192"/>
    </w:p>
    <w:p w:rsidR="00B32FDD" w:rsidRDefault="00B32FDD" w:rsidP="00B32FDD">
      <w:pPr>
        <w:spacing w:line="360" w:lineRule="auto"/>
        <w:rPr>
          <w:sz w:val="26"/>
          <w:szCs w:val="26"/>
        </w:rPr>
      </w:pPr>
    </w:p>
    <w:p w:rsidR="00C77364" w:rsidRDefault="00C77364" w:rsidP="00C77364">
      <w:pPr>
        <w:widowControl w:val="0"/>
        <w:spacing w:line="360" w:lineRule="auto"/>
        <w:ind w:firstLine="1440"/>
        <w:rPr>
          <w:sz w:val="26"/>
          <w:szCs w:val="26"/>
        </w:rPr>
      </w:pPr>
      <w:r>
        <w:rPr>
          <w:sz w:val="26"/>
          <w:szCs w:val="26"/>
        </w:rPr>
        <w:t>FirstEnergy</w:t>
      </w:r>
      <w:r w:rsidRPr="00215F62">
        <w:rPr>
          <w:sz w:val="26"/>
          <w:szCs w:val="26"/>
        </w:rPr>
        <w:t xml:space="preserve"> ha</w:t>
      </w:r>
      <w:r>
        <w:rPr>
          <w:sz w:val="26"/>
          <w:szCs w:val="26"/>
        </w:rPr>
        <w:t>s</w:t>
      </w:r>
      <w:r w:rsidRPr="00215F62">
        <w:rPr>
          <w:sz w:val="26"/>
          <w:szCs w:val="26"/>
        </w:rPr>
        <w:t xml:space="preserve"> proposed to collect interest on administrative start-up costs through the EEC-C Rider</w:t>
      </w:r>
      <w:r>
        <w:rPr>
          <w:sz w:val="26"/>
          <w:szCs w:val="26"/>
        </w:rPr>
        <w:t>s.  Specifically, FirstEnergy proposes amortizing the start-up costs</w:t>
      </w:r>
      <w:r w:rsidR="00AB2F18">
        <w:rPr>
          <w:sz w:val="26"/>
          <w:szCs w:val="26"/>
        </w:rPr>
        <w:t xml:space="preserve"> for each of the Companies,</w:t>
      </w:r>
      <w:r>
        <w:rPr>
          <w:sz w:val="26"/>
          <w:szCs w:val="26"/>
        </w:rPr>
        <w:t xml:space="preserve"> with interest </w:t>
      </w:r>
      <w:r w:rsidR="00AB2F18">
        <w:rPr>
          <w:sz w:val="26"/>
          <w:szCs w:val="26"/>
        </w:rPr>
        <w:t xml:space="preserve">compounded </w:t>
      </w:r>
      <w:r>
        <w:rPr>
          <w:sz w:val="26"/>
          <w:szCs w:val="26"/>
        </w:rPr>
        <w:t xml:space="preserve">at the legal rate of </w:t>
      </w:r>
      <w:r w:rsidR="00B646BC">
        <w:rPr>
          <w:sz w:val="26"/>
          <w:szCs w:val="26"/>
        </w:rPr>
        <w:t>6%</w:t>
      </w:r>
      <w:r>
        <w:rPr>
          <w:sz w:val="26"/>
          <w:szCs w:val="26"/>
        </w:rPr>
        <w:t>, 41 P.</w:t>
      </w:r>
      <w:r w:rsidRPr="001756B2">
        <w:rPr>
          <w:sz w:val="26"/>
          <w:szCs w:val="26"/>
        </w:rPr>
        <w:t>S.</w:t>
      </w:r>
      <w:r w:rsidRPr="001756B2">
        <w:rPr>
          <w:sz w:val="26"/>
          <w:szCs w:val="26"/>
          <w:rtl/>
        </w:rPr>
        <w:t xml:space="preserve">§ </w:t>
      </w:r>
      <w:r w:rsidRPr="001756B2">
        <w:rPr>
          <w:sz w:val="26"/>
          <w:szCs w:val="26"/>
        </w:rPr>
        <w:t xml:space="preserve"> 202</w:t>
      </w:r>
      <w:r>
        <w:rPr>
          <w:sz w:val="26"/>
          <w:szCs w:val="26"/>
        </w:rPr>
        <w:t xml:space="preserve">, over the seven-month period ending May 31, 2010.  FirstEnergy </w:t>
      </w:r>
      <w:r w:rsidR="00AB2F18">
        <w:rPr>
          <w:sz w:val="26"/>
          <w:szCs w:val="26"/>
        </w:rPr>
        <w:t>St.</w:t>
      </w:r>
      <w:r>
        <w:rPr>
          <w:sz w:val="26"/>
          <w:szCs w:val="26"/>
        </w:rPr>
        <w:t xml:space="preserve"> 3 at 7-8.  FirstEnergy believes that the accrual of interest</w:t>
      </w:r>
      <w:r w:rsidRPr="00215F62">
        <w:rPr>
          <w:sz w:val="26"/>
          <w:szCs w:val="26"/>
        </w:rPr>
        <w:t xml:space="preserve"> on the incremental initial startup costs incurred through October 31, 2009</w:t>
      </w:r>
      <w:r>
        <w:rPr>
          <w:sz w:val="26"/>
          <w:szCs w:val="26"/>
        </w:rPr>
        <w:t>,</w:t>
      </w:r>
      <w:r w:rsidRPr="00215F62">
        <w:rPr>
          <w:sz w:val="26"/>
          <w:szCs w:val="26"/>
        </w:rPr>
        <w:t xml:space="preserve"> is appropriate </w:t>
      </w:r>
      <w:r>
        <w:rPr>
          <w:sz w:val="26"/>
          <w:szCs w:val="26"/>
        </w:rPr>
        <w:t>since</w:t>
      </w:r>
      <w:r w:rsidRPr="00215F62">
        <w:rPr>
          <w:sz w:val="26"/>
          <w:szCs w:val="26"/>
        </w:rPr>
        <w:t xml:space="preserve"> these costs are being </w:t>
      </w:r>
      <w:r>
        <w:rPr>
          <w:sz w:val="26"/>
          <w:szCs w:val="26"/>
        </w:rPr>
        <w:t>realized</w:t>
      </w:r>
      <w:r w:rsidRPr="00215F62">
        <w:rPr>
          <w:sz w:val="26"/>
          <w:szCs w:val="26"/>
        </w:rPr>
        <w:t xml:space="preserve"> by the Companies prior to the date on which they can start recovery under their respective EEC-C Riders. </w:t>
      </w:r>
      <w:r w:rsidR="00AB2F18">
        <w:rPr>
          <w:sz w:val="26"/>
          <w:szCs w:val="26"/>
        </w:rPr>
        <w:t xml:space="preserve"> FirstEnergy St.</w:t>
      </w:r>
      <w:r>
        <w:rPr>
          <w:sz w:val="26"/>
          <w:szCs w:val="26"/>
        </w:rPr>
        <w:t xml:space="preserve"> 3-R at 4; FirstEnergy MB at 43.  FirstEnergy asserts that </w:t>
      </w:r>
      <w:r>
        <w:rPr>
          <w:sz w:val="26"/>
          <w:szCs w:val="26"/>
        </w:rPr>
        <w:lastRenderedPageBreak/>
        <w:t>the</w:t>
      </w:r>
      <w:r w:rsidRPr="00215F62">
        <w:rPr>
          <w:sz w:val="26"/>
          <w:szCs w:val="26"/>
        </w:rPr>
        <w:t xml:space="preserve"> proposed methodology for interest computation is consistent with the cost recovery of startup costs for other </w:t>
      </w:r>
      <w:r w:rsidR="00753610">
        <w:rPr>
          <w:sz w:val="26"/>
          <w:szCs w:val="26"/>
        </w:rPr>
        <w:t xml:space="preserve">Section </w:t>
      </w:r>
      <w:r w:rsidRPr="00215F62">
        <w:rPr>
          <w:sz w:val="26"/>
          <w:szCs w:val="26"/>
        </w:rPr>
        <w:t xml:space="preserve">1307(e) mechanisms proposed by the Companies </w:t>
      </w:r>
      <w:r w:rsidR="00D1661B">
        <w:rPr>
          <w:sz w:val="26"/>
          <w:szCs w:val="26"/>
        </w:rPr>
        <w:t>and agreed-</w:t>
      </w:r>
      <w:r>
        <w:rPr>
          <w:sz w:val="26"/>
          <w:szCs w:val="26"/>
        </w:rPr>
        <w:t xml:space="preserve">to by the parties </w:t>
      </w:r>
      <w:r w:rsidRPr="00215F62">
        <w:rPr>
          <w:sz w:val="26"/>
          <w:szCs w:val="26"/>
        </w:rPr>
        <w:t>in other proceedings</w:t>
      </w:r>
      <w:r>
        <w:rPr>
          <w:sz w:val="26"/>
          <w:szCs w:val="26"/>
        </w:rPr>
        <w:t xml:space="preserve"> before the</w:t>
      </w:r>
      <w:r w:rsidR="00EA6F69">
        <w:rPr>
          <w:sz w:val="26"/>
          <w:szCs w:val="26"/>
        </w:rPr>
        <w:t xml:space="preserve"> Commission.  FirstEnergy MB at </w:t>
      </w:r>
      <w:r>
        <w:rPr>
          <w:sz w:val="26"/>
          <w:szCs w:val="26"/>
        </w:rPr>
        <w:t>43.</w:t>
      </w:r>
    </w:p>
    <w:p w:rsidR="00C77364" w:rsidRDefault="00C77364" w:rsidP="00C77364">
      <w:pPr>
        <w:widowControl w:val="0"/>
        <w:spacing w:line="360" w:lineRule="auto"/>
        <w:ind w:firstLine="1440"/>
        <w:rPr>
          <w:sz w:val="26"/>
          <w:szCs w:val="26"/>
        </w:rPr>
      </w:pPr>
    </w:p>
    <w:p w:rsidR="00C77364" w:rsidRDefault="00C77364" w:rsidP="00C77364">
      <w:pPr>
        <w:widowControl w:val="0"/>
        <w:spacing w:line="360" w:lineRule="auto"/>
        <w:ind w:firstLine="1440"/>
        <w:rPr>
          <w:sz w:val="26"/>
          <w:szCs w:val="26"/>
        </w:rPr>
      </w:pPr>
      <w:r>
        <w:rPr>
          <w:sz w:val="26"/>
          <w:szCs w:val="26"/>
        </w:rPr>
        <w:t>The OTS does not oppose the imposition of interest on these start-up costs. However, the OTS does oppose the use of compound interest.  In lieu of compound interest, the OTS recommends simple interest.  This is consistent with the OTS’ recommendation regarding the collection of interest o</w:t>
      </w:r>
      <w:r w:rsidR="00D1661B">
        <w:rPr>
          <w:sz w:val="26"/>
          <w:szCs w:val="26"/>
        </w:rPr>
        <w:t xml:space="preserve">n </w:t>
      </w:r>
      <w:r w:rsidR="00BE1219">
        <w:rPr>
          <w:sz w:val="26"/>
          <w:szCs w:val="26"/>
        </w:rPr>
        <w:t>over/under</w:t>
      </w:r>
      <w:r w:rsidR="00D1661B">
        <w:rPr>
          <w:sz w:val="26"/>
          <w:szCs w:val="26"/>
        </w:rPr>
        <w:t xml:space="preserve"> collections of</w:t>
      </w:r>
      <w:r w:rsidR="001164F4">
        <w:rPr>
          <w:sz w:val="26"/>
          <w:szCs w:val="26"/>
        </w:rPr>
        <w:t xml:space="preserve"> Plan costs.  OTS MB at 21-</w:t>
      </w:r>
      <w:r>
        <w:rPr>
          <w:sz w:val="26"/>
          <w:szCs w:val="26"/>
        </w:rPr>
        <w:t>22.</w:t>
      </w:r>
    </w:p>
    <w:p w:rsidR="00C77364" w:rsidRDefault="00C77364" w:rsidP="00C77364">
      <w:pPr>
        <w:widowControl w:val="0"/>
        <w:spacing w:line="360" w:lineRule="auto"/>
        <w:ind w:firstLine="1440"/>
        <w:rPr>
          <w:sz w:val="26"/>
          <w:szCs w:val="26"/>
        </w:rPr>
      </w:pPr>
    </w:p>
    <w:p w:rsidR="00C77364" w:rsidRDefault="00C77364" w:rsidP="00C77364">
      <w:pPr>
        <w:widowControl w:val="0"/>
        <w:spacing w:line="360" w:lineRule="auto"/>
        <w:ind w:firstLine="1440"/>
        <w:rPr>
          <w:sz w:val="26"/>
          <w:szCs w:val="26"/>
        </w:rPr>
      </w:pPr>
      <w:r w:rsidRPr="00B65904">
        <w:rPr>
          <w:sz w:val="26"/>
          <w:szCs w:val="26"/>
        </w:rPr>
        <w:t>The OCA does not oppose FirstEnergy</w:t>
      </w:r>
      <w:r>
        <w:rPr>
          <w:sz w:val="26"/>
          <w:szCs w:val="26"/>
        </w:rPr>
        <w:t>’s</w:t>
      </w:r>
      <w:r w:rsidR="00D1661B">
        <w:rPr>
          <w:sz w:val="26"/>
          <w:szCs w:val="26"/>
        </w:rPr>
        <w:t xml:space="preserve"> proposal</w:t>
      </w:r>
      <w:r w:rsidRPr="00B65904">
        <w:rPr>
          <w:sz w:val="26"/>
          <w:szCs w:val="26"/>
        </w:rPr>
        <w:t xml:space="preserve"> to r</w:t>
      </w:r>
      <w:r>
        <w:rPr>
          <w:sz w:val="26"/>
          <w:szCs w:val="26"/>
        </w:rPr>
        <w:t>ecover its administrative start-</w:t>
      </w:r>
      <w:r w:rsidRPr="00B65904">
        <w:rPr>
          <w:sz w:val="26"/>
          <w:szCs w:val="26"/>
        </w:rPr>
        <w:t xml:space="preserve">up costs </w:t>
      </w:r>
      <w:r>
        <w:rPr>
          <w:sz w:val="26"/>
          <w:szCs w:val="26"/>
        </w:rPr>
        <w:t>if</w:t>
      </w:r>
      <w:r w:rsidRPr="00B65904">
        <w:rPr>
          <w:sz w:val="26"/>
          <w:szCs w:val="26"/>
        </w:rPr>
        <w:t xml:space="preserve"> the total amounts recovered </w:t>
      </w:r>
      <w:r>
        <w:rPr>
          <w:sz w:val="26"/>
          <w:szCs w:val="26"/>
        </w:rPr>
        <w:t>do</w:t>
      </w:r>
      <w:r w:rsidRPr="00B65904">
        <w:rPr>
          <w:sz w:val="26"/>
          <w:szCs w:val="26"/>
        </w:rPr>
        <w:t xml:space="preserve"> not excee</w:t>
      </w:r>
      <w:r w:rsidR="001C5F5E">
        <w:rPr>
          <w:sz w:val="26"/>
          <w:szCs w:val="26"/>
        </w:rPr>
        <w:t xml:space="preserve">d the </w:t>
      </w:r>
      <w:r w:rsidR="00B646BC">
        <w:rPr>
          <w:sz w:val="26"/>
          <w:szCs w:val="26"/>
        </w:rPr>
        <w:t>2%</w:t>
      </w:r>
      <w:r>
        <w:rPr>
          <w:sz w:val="26"/>
          <w:szCs w:val="26"/>
        </w:rPr>
        <w:t xml:space="preserve"> cap imposed by Act 129.</w:t>
      </w:r>
      <w:r w:rsidRPr="00B65904">
        <w:rPr>
          <w:sz w:val="26"/>
          <w:szCs w:val="26"/>
        </w:rPr>
        <w:t xml:space="preserve"> </w:t>
      </w:r>
      <w:r>
        <w:rPr>
          <w:sz w:val="26"/>
          <w:szCs w:val="26"/>
        </w:rPr>
        <w:t xml:space="preserve"> However,</w:t>
      </w:r>
      <w:r w:rsidRPr="00B65904">
        <w:rPr>
          <w:sz w:val="26"/>
          <w:szCs w:val="26"/>
        </w:rPr>
        <w:t xml:space="preserve"> the OCA does object to the </w:t>
      </w:r>
      <w:r>
        <w:rPr>
          <w:sz w:val="26"/>
          <w:szCs w:val="26"/>
        </w:rPr>
        <w:t xml:space="preserve">recovery of interest on these </w:t>
      </w:r>
      <w:r w:rsidRPr="00B65904">
        <w:rPr>
          <w:sz w:val="26"/>
          <w:szCs w:val="26"/>
        </w:rPr>
        <w:t xml:space="preserve">costs.  </w:t>
      </w:r>
      <w:r>
        <w:rPr>
          <w:sz w:val="26"/>
          <w:szCs w:val="26"/>
        </w:rPr>
        <w:t>The OCA believes that i</w:t>
      </w:r>
      <w:r w:rsidRPr="00B65904">
        <w:rPr>
          <w:sz w:val="26"/>
          <w:szCs w:val="26"/>
        </w:rPr>
        <w:t xml:space="preserve">t is </w:t>
      </w:r>
      <w:r>
        <w:rPr>
          <w:sz w:val="26"/>
          <w:szCs w:val="26"/>
        </w:rPr>
        <w:t>un</w:t>
      </w:r>
      <w:r w:rsidRPr="00B65904">
        <w:rPr>
          <w:sz w:val="26"/>
          <w:szCs w:val="26"/>
        </w:rPr>
        <w:t xml:space="preserve">reasonable to charge interest on this one cost component, without crediting customers with interest on over-collections in the early years of the Companies’ </w:t>
      </w:r>
      <w:r>
        <w:rPr>
          <w:sz w:val="26"/>
          <w:szCs w:val="26"/>
        </w:rPr>
        <w:t xml:space="preserve">Plans.  </w:t>
      </w:r>
      <w:r w:rsidRPr="00B65904">
        <w:rPr>
          <w:sz w:val="26"/>
          <w:szCs w:val="26"/>
        </w:rPr>
        <w:t>It is the OCA’s position that interest should not be paid or collected on any portion of these charges.</w:t>
      </w:r>
      <w:r w:rsidR="001164F4">
        <w:rPr>
          <w:sz w:val="26"/>
          <w:szCs w:val="26"/>
        </w:rPr>
        <w:t xml:space="preserve">  </w:t>
      </w:r>
      <w:r>
        <w:rPr>
          <w:sz w:val="26"/>
          <w:szCs w:val="26"/>
        </w:rPr>
        <w:t>OCA MB at 38.</w:t>
      </w:r>
    </w:p>
    <w:p w:rsidR="00DB2822" w:rsidRDefault="00DB2822" w:rsidP="00C77364">
      <w:pPr>
        <w:widowControl w:val="0"/>
        <w:spacing w:line="360" w:lineRule="auto"/>
        <w:ind w:firstLine="1440"/>
        <w:rPr>
          <w:sz w:val="26"/>
          <w:szCs w:val="26"/>
        </w:rPr>
      </w:pPr>
    </w:p>
    <w:p w:rsidR="00B32FDD" w:rsidRPr="00C105A3" w:rsidRDefault="00B32FDD" w:rsidP="00B32FDD">
      <w:pPr>
        <w:pStyle w:val="Heading5"/>
        <w:spacing w:line="240" w:lineRule="auto"/>
        <w:ind w:left="3600" w:hanging="720"/>
      </w:pPr>
      <w:bookmarkStart w:id="193" w:name="_Toc242516311"/>
      <w:bookmarkStart w:id="194" w:name="_Toc244499367"/>
      <w:r>
        <w:t>(2</w:t>
      </w:r>
      <w:r w:rsidRPr="00C105A3">
        <w:t xml:space="preserve">)  </w:t>
      </w:r>
      <w:r>
        <w:tab/>
        <w:t>Disposition</w:t>
      </w:r>
      <w:bookmarkEnd w:id="193"/>
      <w:bookmarkEnd w:id="194"/>
    </w:p>
    <w:p w:rsidR="00AB2F18" w:rsidRDefault="00AB2F18" w:rsidP="00AB2F18">
      <w:pPr>
        <w:widowControl w:val="0"/>
        <w:spacing w:line="360" w:lineRule="auto"/>
        <w:ind w:firstLine="1440"/>
        <w:rPr>
          <w:sz w:val="26"/>
          <w:szCs w:val="26"/>
        </w:rPr>
      </w:pPr>
    </w:p>
    <w:p w:rsidR="00AB2F18" w:rsidRPr="008E7753" w:rsidRDefault="00AB2F18" w:rsidP="00AB2F18">
      <w:pPr>
        <w:widowControl w:val="0"/>
        <w:spacing w:line="360" w:lineRule="auto"/>
        <w:ind w:firstLine="1440"/>
        <w:rPr>
          <w:sz w:val="26"/>
          <w:szCs w:val="26"/>
        </w:rPr>
      </w:pPr>
      <w:r>
        <w:rPr>
          <w:sz w:val="26"/>
          <w:szCs w:val="26"/>
        </w:rPr>
        <w:t>After careful consideration of the record developed on this issue, we have determined that it is appropriate to deny recovery of interest on FirstEnergy’s start-up costs.  We agree with the OCA that i</w:t>
      </w:r>
      <w:r w:rsidRPr="00B65904">
        <w:rPr>
          <w:sz w:val="26"/>
          <w:szCs w:val="26"/>
        </w:rPr>
        <w:t xml:space="preserve">t is </w:t>
      </w:r>
      <w:r>
        <w:rPr>
          <w:sz w:val="26"/>
          <w:szCs w:val="26"/>
        </w:rPr>
        <w:t>un</w:t>
      </w:r>
      <w:r w:rsidRPr="00B65904">
        <w:rPr>
          <w:sz w:val="26"/>
          <w:szCs w:val="26"/>
        </w:rPr>
        <w:t>reasonable to charge inte</w:t>
      </w:r>
      <w:r>
        <w:rPr>
          <w:sz w:val="26"/>
          <w:szCs w:val="26"/>
        </w:rPr>
        <w:t>rest on this one cost component</w:t>
      </w:r>
      <w:r w:rsidRPr="00B65904">
        <w:rPr>
          <w:sz w:val="26"/>
          <w:szCs w:val="26"/>
        </w:rPr>
        <w:t xml:space="preserve"> without </w:t>
      </w:r>
      <w:r>
        <w:rPr>
          <w:sz w:val="26"/>
          <w:szCs w:val="26"/>
        </w:rPr>
        <w:t xml:space="preserve">also </w:t>
      </w:r>
      <w:r w:rsidRPr="00B65904">
        <w:rPr>
          <w:sz w:val="26"/>
          <w:szCs w:val="26"/>
        </w:rPr>
        <w:t>crediting customers with interest on over-collections in the early years of the Companies’ Plans.</w:t>
      </w:r>
      <w:r w:rsidR="00D1661B">
        <w:rPr>
          <w:sz w:val="26"/>
          <w:szCs w:val="26"/>
        </w:rPr>
        <w:t xml:space="preserve">  Consequently</w:t>
      </w:r>
      <w:r>
        <w:rPr>
          <w:sz w:val="26"/>
          <w:szCs w:val="26"/>
        </w:rPr>
        <w:t xml:space="preserve">, we </w:t>
      </w:r>
      <w:r w:rsidR="00753610">
        <w:rPr>
          <w:sz w:val="26"/>
          <w:szCs w:val="26"/>
        </w:rPr>
        <w:t xml:space="preserve">also </w:t>
      </w:r>
      <w:r>
        <w:rPr>
          <w:sz w:val="26"/>
          <w:szCs w:val="26"/>
        </w:rPr>
        <w:t xml:space="preserve">shall deny the recommendation of the OTS to apply simple interest to the amortization of FirstEnergy’s start-up costs.  </w:t>
      </w:r>
    </w:p>
    <w:p w:rsidR="006C52FF" w:rsidRDefault="006C52FF" w:rsidP="00486CBB">
      <w:pPr>
        <w:spacing w:line="360" w:lineRule="auto"/>
        <w:rPr>
          <w:sz w:val="26"/>
          <w:szCs w:val="26"/>
        </w:rPr>
      </w:pPr>
    </w:p>
    <w:p w:rsidR="00B32FDD" w:rsidRDefault="00B32FDD" w:rsidP="00B32FDD">
      <w:pPr>
        <w:pStyle w:val="Heading4"/>
        <w:spacing w:line="240" w:lineRule="auto"/>
        <w:ind w:left="2880" w:hanging="720"/>
      </w:pPr>
      <w:bookmarkStart w:id="195" w:name="_Toc242516312"/>
      <w:bookmarkStart w:id="196" w:name="_Toc244499368"/>
      <w:r>
        <w:lastRenderedPageBreak/>
        <w:t>e</w:t>
      </w:r>
      <w:r w:rsidR="001E3672">
        <w:t>.</w:t>
      </w:r>
      <w:r>
        <w:tab/>
        <w:t>Required Bidding of Met Ed and Penelec’s Demand Response Measures into PJM’s Reliability Pricing Model Auction</w:t>
      </w:r>
      <w:bookmarkEnd w:id="195"/>
      <w:bookmarkEnd w:id="196"/>
    </w:p>
    <w:p w:rsidR="00B32FDD" w:rsidRDefault="00B32FDD" w:rsidP="00B32FDD"/>
    <w:p w:rsidR="00B32FDD" w:rsidRPr="00B32FDD" w:rsidRDefault="00B32FDD" w:rsidP="00B32FDD"/>
    <w:p w:rsidR="00B32FDD" w:rsidRPr="00C105A3" w:rsidRDefault="00B32FDD" w:rsidP="00B32FDD">
      <w:pPr>
        <w:pStyle w:val="Heading5"/>
        <w:spacing w:line="240" w:lineRule="auto"/>
        <w:ind w:left="3600" w:hanging="720"/>
      </w:pPr>
      <w:bookmarkStart w:id="197" w:name="_Toc242516313"/>
      <w:bookmarkStart w:id="198" w:name="_Toc244499369"/>
      <w:r>
        <w:t>(1</w:t>
      </w:r>
      <w:r w:rsidRPr="00C105A3">
        <w:t xml:space="preserve">)  </w:t>
      </w:r>
      <w:r>
        <w:tab/>
        <w:t>Positions of the Parties</w:t>
      </w:r>
      <w:bookmarkEnd w:id="197"/>
      <w:bookmarkEnd w:id="198"/>
    </w:p>
    <w:p w:rsidR="00B32FDD" w:rsidRDefault="00B32FDD" w:rsidP="00B32FDD">
      <w:pPr>
        <w:spacing w:line="360" w:lineRule="auto"/>
        <w:rPr>
          <w:sz w:val="26"/>
          <w:szCs w:val="26"/>
        </w:rPr>
      </w:pPr>
    </w:p>
    <w:p w:rsidR="00392938" w:rsidRPr="008E3AB3" w:rsidRDefault="00392938" w:rsidP="00392938">
      <w:pPr>
        <w:spacing w:line="360" w:lineRule="auto"/>
        <w:ind w:firstLine="1440"/>
      </w:pPr>
      <w:r w:rsidRPr="004F7217">
        <w:rPr>
          <w:sz w:val="26"/>
          <w:szCs w:val="26"/>
        </w:rPr>
        <w:t xml:space="preserve">Beginning with the Auction conducted in May 2009, PJM has modified its </w:t>
      </w:r>
      <w:r>
        <w:rPr>
          <w:sz w:val="26"/>
          <w:szCs w:val="26"/>
        </w:rPr>
        <w:t xml:space="preserve">RPM </w:t>
      </w:r>
      <w:r w:rsidRPr="004F7217">
        <w:rPr>
          <w:sz w:val="26"/>
          <w:szCs w:val="26"/>
        </w:rPr>
        <w:t>auction process to allow for the inclusion of energy efficiency and demand response resources.  Qualifying energy efficiency and demand response resources can now bid into the PJM auctions as a capacity resource and</w:t>
      </w:r>
      <w:r>
        <w:rPr>
          <w:sz w:val="26"/>
          <w:szCs w:val="26"/>
        </w:rPr>
        <w:t>,</w:t>
      </w:r>
      <w:r w:rsidRPr="004F7217">
        <w:rPr>
          <w:sz w:val="26"/>
          <w:szCs w:val="26"/>
        </w:rPr>
        <w:t xml:space="preserve"> if cleared, receive capacity payments.</w:t>
      </w:r>
      <w:r>
        <w:rPr>
          <w:sz w:val="26"/>
          <w:szCs w:val="26"/>
        </w:rPr>
        <w:t xml:space="preserve"> </w:t>
      </w:r>
      <w:r w:rsidR="0038544B">
        <w:rPr>
          <w:sz w:val="26"/>
          <w:szCs w:val="26"/>
        </w:rPr>
        <w:t xml:space="preserve"> OCA St.</w:t>
      </w:r>
      <w:r>
        <w:rPr>
          <w:sz w:val="26"/>
          <w:szCs w:val="26"/>
        </w:rPr>
        <w:t xml:space="preserve"> 1 at 42-43.  The OCA submits that </w:t>
      </w:r>
      <w:r w:rsidR="0038544B">
        <w:rPr>
          <w:sz w:val="26"/>
          <w:szCs w:val="26"/>
        </w:rPr>
        <w:t>Met Ed and Penelec</w:t>
      </w:r>
      <w:r>
        <w:rPr>
          <w:rStyle w:val="FootnoteReference"/>
          <w:sz w:val="26"/>
          <w:szCs w:val="26"/>
        </w:rPr>
        <w:footnoteReference w:id="35"/>
      </w:r>
      <w:r>
        <w:rPr>
          <w:sz w:val="26"/>
          <w:szCs w:val="26"/>
        </w:rPr>
        <w:t xml:space="preserve"> should be directed to explore this option and to bid their qualifying resources into the auctions.  The OCA asserts that capacity payments can provide significant value that should then be credited to all customers through the cost recovery mechanism to offset the costs that customers must bear under the Act.  </w:t>
      </w:r>
      <w:r w:rsidRPr="0022527D">
        <w:rPr>
          <w:sz w:val="26"/>
          <w:szCs w:val="26"/>
        </w:rPr>
        <w:t xml:space="preserve">The OCA agrees that </w:t>
      </w:r>
      <w:r w:rsidR="0038544B">
        <w:rPr>
          <w:sz w:val="26"/>
          <w:szCs w:val="26"/>
        </w:rPr>
        <w:t>Met Ed and Penelec</w:t>
      </w:r>
      <w:r w:rsidR="0038544B" w:rsidRPr="0022527D">
        <w:rPr>
          <w:sz w:val="26"/>
          <w:szCs w:val="26"/>
        </w:rPr>
        <w:t xml:space="preserve"> </w:t>
      </w:r>
      <w:r w:rsidRPr="0022527D">
        <w:rPr>
          <w:sz w:val="26"/>
          <w:szCs w:val="26"/>
        </w:rPr>
        <w:t>should recover the reasonable costs of participation in the PJM RPM auction, and that the savings credited to ratepayers as a result of the</w:t>
      </w:r>
      <w:r w:rsidR="0038544B">
        <w:rPr>
          <w:sz w:val="26"/>
          <w:szCs w:val="26"/>
        </w:rPr>
        <w:t>ir</w:t>
      </w:r>
      <w:r w:rsidRPr="0022527D">
        <w:rPr>
          <w:sz w:val="26"/>
          <w:szCs w:val="26"/>
        </w:rPr>
        <w:t xml:space="preserve"> participation should be reduced accordingly.</w:t>
      </w:r>
      <w:r>
        <w:rPr>
          <w:sz w:val="26"/>
          <w:szCs w:val="26"/>
        </w:rPr>
        <w:t xml:space="preserve">  OCA MB at 38-39.</w:t>
      </w:r>
    </w:p>
    <w:p w:rsidR="00392938" w:rsidRDefault="00392938" w:rsidP="00392938">
      <w:pPr>
        <w:widowControl w:val="0"/>
        <w:spacing w:line="360" w:lineRule="auto"/>
        <w:ind w:firstLine="1440"/>
        <w:rPr>
          <w:sz w:val="26"/>
          <w:szCs w:val="26"/>
        </w:rPr>
      </w:pPr>
    </w:p>
    <w:p w:rsidR="00392938" w:rsidRDefault="00392938" w:rsidP="003E6E9B">
      <w:pPr>
        <w:widowControl w:val="0"/>
        <w:spacing w:line="360" w:lineRule="auto"/>
        <w:rPr>
          <w:sz w:val="26"/>
          <w:szCs w:val="26"/>
        </w:rPr>
      </w:pPr>
      <w:r w:rsidRPr="004E6CEF">
        <w:rPr>
          <w:b/>
          <w:sz w:val="26"/>
          <w:szCs w:val="26"/>
        </w:rPr>
        <w:tab/>
      </w:r>
      <w:r w:rsidRPr="004E6CEF">
        <w:rPr>
          <w:b/>
          <w:sz w:val="26"/>
          <w:szCs w:val="26"/>
        </w:rPr>
        <w:tab/>
      </w:r>
      <w:r>
        <w:rPr>
          <w:sz w:val="26"/>
          <w:szCs w:val="26"/>
        </w:rPr>
        <w:t>FirstEnergy</w:t>
      </w:r>
      <w:r w:rsidRPr="004E6CEF">
        <w:rPr>
          <w:sz w:val="26"/>
          <w:szCs w:val="26"/>
        </w:rPr>
        <w:t xml:space="preserve"> </w:t>
      </w:r>
      <w:r>
        <w:rPr>
          <w:sz w:val="26"/>
          <w:szCs w:val="26"/>
        </w:rPr>
        <w:t>states</w:t>
      </w:r>
      <w:r w:rsidRPr="004E6CEF">
        <w:rPr>
          <w:sz w:val="26"/>
          <w:szCs w:val="26"/>
        </w:rPr>
        <w:t xml:space="preserve"> that </w:t>
      </w:r>
      <w:r w:rsidR="00824687">
        <w:rPr>
          <w:sz w:val="26"/>
          <w:szCs w:val="26"/>
        </w:rPr>
        <w:t>curtailment service provider</w:t>
      </w:r>
      <w:r>
        <w:rPr>
          <w:sz w:val="26"/>
          <w:szCs w:val="26"/>
        </w:rPr>
        <w:t>s</w:t>
      </w:r>
      <w:r w:rsidR="003E6E9B">
        <w:rPr>
          <w:sz w:val="26"/>
          <w:szCs w:val="26"/>
        </w:rPr>
        <w:t xml:space="preserve"> should install and manage r</w:t>
      </w:r>
      <w:r w:rsidRPr="0022527D">
        <w:rPr>
          <w:sz w:val="26"/>
          <w:szCs w:val="26"/>
        </w:rPr>
        <w:t xml:space="preserve">esidential demand response programs and reflect the benefit of the PJM RPM auction in their bids.  </w:t>
      </w:r>
      <w:r>
        <w:rPr>
          <w:sz w:val="26"/>
          <w:szCs w:val="26"/>
        </w:rPr>
        <w:t xml:space="preserve">FirstEnergy St. 2-R </w:t>
      </w:r>
      <w:r w:rsidR="003E6E9B">
        <w:rPr>
          <w:sz w:val="26"/>
          <w:szCs w:val="26"/>
        </w:rPr>
        <w:t>at</w:t>
      </w:r>
      <w:r w:rsidRPr="0022527D">
        <w:rPr>
          <w:sz w:val="26"/>
          <w:szCs w:val="26"/>
        </w:rPr>
        <w:t xml:space="preserve"> 7.  </w:t>
      </w:r>
      <w:r>
        <w:rPr>
          <w:sz w:val="26"/>
          <w:szCs w:val="26"/>
        </w:rPr>
        <w:t>FirstEnergy</w:t>
      </w:r>
      <w:r w:rsidRPr="0022527D">
        <w:rPr>
          <w:sz w:val="26"/>
          <w:szCs w:val="26"/>
        </w:rPr>
        <w:t xml:space="preserve"> further argue</w:t>
      </w:r>
      <w:r>
        <w:rPr>
          <w:sz w:val="26"/>
          <w:szCs w:val="26"/>
        </w:rPr>
        <w:t>s</w:t>
      </w:r>
      <w:r w:rsidRPr="0022527D">
        <w:rPr>
          <w:sz w:val="26"/>
          <w:szCs w:val="26"/>
        </w:rPr>
        <w:t xml:space="preserve"> that, to the extent the Commission requires that they aggregate demand-side resources and participate in the PJM RPM auction, any potential savings must be passed on to customers net of all costs to the Companies for such participation.  </w:t>
      </w:r>
      <w:r>
        <w:rPr>
          <w:sz w:val="26"/>
          <w:szCs w:val="26"/>
        </w:rPr>
        <w:t>FirstEnergy</w:t>
      </w:r>
      <w:r w:rsidRPr="0022527D">
        <w:rPr>
          <w:sz w:val="26"/>
          <w:szCs w:val="26"/>
        </w:rPr>
        <w:t xml:space="preserve"> St. 2</w:t>
      </w:r>
      <w:r>
        <w:rPr>
          <w:sz w:val="26"/>
          <w:szCs w:val="26"/>
        </w:rPr>
        <w:t xml:space="preserve">-R </w:t>
      </w:r>
      <w:r w:rsidR="003E6E9B">
        <w:rPr>
          <w:sz w:val="26"/>
          <w:szCs w:val="26"/>
        </w:rPr>
        <w:t>at</w:t>
      </w:r>
      <w:r w:rsidR="00EA6F69">
        <w:rPr>
          <w:sz w:val="26"/>
          <w:szCs w:val="26"/>
        </w:rPr>
        <w:t> </w:t>
      </w:r>
      <w:r w:rsidRPr="0022527D">
        <w:rPr>
          <w:sz w:val="26"/>
          <w:szCs w:val="26"/>
        </w:rPr>
        <w:t xml:space="preserve">8.  </w:t>
      </w:r>
      <w:r>
        <w:rPr>
          <w:sz w:val="26"/>
          <w:szCs w:val="26"/>
        </w:rPr>
        <w:t>FirstEnergy has committed to pay the customers RPM capacity payments less administrative and credit requirement costs to implement such programs.  FirstEnergy estimated</w:t>
      </w:r>
      <w:r w:rsidR="002F7E35">
        <w:rPr>
          <w:sz w:val="26"/>
          <w:szCs w:val="26"/>
        </w:rPr>
        <w:t xml:space="preserve"> </w:t>
      </w:r>
      <w:r>
        <w:rPr>
          <w:sz w:val="26"/>
          <w:szCs w:val="26"/>
        </w:rPr>
        <w:t xml:space="preserve">that approximately </w:t>
      </w:r>
      <w:r w:rsidR="00B646BC">
        <w:rPr>
          <w:sz w:val="26"/>
          <w:szCs w:val="26"/>
        </w:rPr>
        <w:t>15%</w:t>
      </w:r>
      <w:r>
        <w:rPr>
          <w:sz w:val="26"/>
          <w:szCs w:val="26"/>
        </w:rPr>
        <w:t xml:space="preserve"> of the total RPM capacity payments received will be </w:t>
      </w:r>
      <w:r>
        <w:rPr>
          <w:sz w:val="26"/>
          <w:szCs w:val="26"/>
        </w:rPr>
        <w:lastRenderedPageBreak/>
        <w:t xml:space="preserve">retained to cover its administrative and credit requirement costs.  </w:t>
      </w:r>
      <w:r w:rsidRPr="000A4C0D">
        <w:rPr>
          <w:sz w:val="26"/>
          <w:szCs w:val="26"/>
        </w:rPr>
        <w:t>FirstEnergy St</w:t>
      </w:r>
      <w:r>
        <w:rPr>
          <w:sz w:val="26"/>
          <w:szCs w:val="26"/>
        </w:rPr>
        <w:t>.</w:t>
      </w:r>
      <w:r w:rsidRPr="000A4C0D">
        <w:rPr>
          <w:sz w:val="26"/>
          <w:szCs w:val="26"/>
        </w:rPr>
        <w:t xml:space="preserve"> 2-R </w:t>
      </w:r>
      <w:r>
        <w:rPr>
          <w:sz w:val="26"/>
          <w:szCs w:val="26"/>
        </w:rPr>
        <w:t>at</w:t>
      </w:r>
      <w:r w:rsidRPr="000A4C0D">
        <w:rPr>
          <w:sz w:val="26"/>
          <w:szCs w:val="26"/>
        </w:rPr>
        <w:t xml:space="preserve"> 7</w:t>
      </w:r>
      <w:r>
        <w:rPr>
          <w:sz w:val="26"/>
          <w:szCs w:val="26"/>
        </w:rPr>
        <w:t xml:space="preserve">; </w:t>
      </w:r>
      <w:r w:rsidR="007D314C">
        <w:rPr>
          <w:sz w:val="26"/>
          <w:szCs w:val="26"/>
        </w:rPr>
        <w:t>FirstEnergy</w:t>
      </w:r>
      <w:r>
        <w:rPr>
          <w:sz w:val="26"/>
          <w:szCs w:val="26"/>
        </w:rPr>
        <w:t xml:space="preserve"> RB at 28, 29.</w:t>
      </w:r>
    </w:p>
    <w:p w:rsidR="00B32FDD" w:rsidRDefault="00B32FDD" w:rsidP="00B32FDD">
      <w:pPr>
        <w:spacing w:line="360" w:lineRule="auto"/>
        <w:rPr>
          <w:sz w:val="26"/>
          <w:szCs w:val="26"/>
        </w:rPr>
      </w:pPr>
    </w:p>
    <w:p w:rsidR="00B32FDD" w:rsidRPr="00C105A3" w:rsidRDefault="00B32FDD" w:rsidP="00B32FDD">
      <w:pPr>
        <w:pStyle w:val="Heading5"/>
        <w:spacing w:line="240" w:lineRule="auto"/>
        <w:ind w:left="3600" w:hanging="720"/>
      </w:pPr>
      <w:bookmarkStart w:id="199" w:name="_Toc242516314"/>
      <w:bookmarkStart w:id="200" w:name="_Toc244499370"/>
      <w:r>
        <w:t>(2</w:t>
      </w:r>
      <w:r w:rsidRPr="00C105A3">
        <w:t xml:space="preserve">)  </w:t>
      </w:r>
      <w:r>
        <w:tab/>
        <w:t>Disposition</w:t>
      </w:r>
      <w:bookmarkEnd w:id="199"/>
      <w:bookmarkEnd w:id="200"/>
    </w:p>
    <w:p w:rsidR="00B32FDD" w:rsidRDefault="00B32FDD" w:rsidP="00B32FDD">
      <w:pPr>
        <w:spacing w:line="360" w:lineRule="auto"/>
        <w:rPr>
          <w:sz w:val="26"/>
          <w:szCs w:val="26"/>
        </w:rPr>
      </w:pPr>
    </w:p>
    <w:p w:rsidR="00A72D55" w:rsidRDefault="00A72D55" w:rsidP="00A72D55">
      <w:pPr>
        <w:widowControl w:val="0"/>
        <w:spacing w:line="360" w:lineRule="auto"/>
        <w:ind w:firstLine="1440"/>
        <w:rPr>
          <w:sz w:val="26"/>
          <w:szCs w:val="26"/>
        </w:rPr>
      </w:pPr>
      <w:r w:rsidRPr="00E0170D">
        <w:rPr>
          <w:sz w:val="26"/>
          <w:szCs w:val="26"/>
        </w:rPr>
        <w:t xml:space="preserve">We agree with the OCA’s recommendation and believe </w:t>
      </w:r>
      <w:r w:rsidR="001164F4">
        <w:rPr>
          <w:sz w:val="26"/>
          <w:szCs w:val="26"/>
        </w:rPr>
        <w:t xml:space="preserve">it should be incumbent upon </w:t>
      </w:r>
      <w:r>
        <w:rPr>
          <w:sz w:val="26"/>
          <w:szCs w:val="26"/>
        </w:rPr>
        <w:t xml:space="preserve">Met Ed and </w:t>
      </w:r>
      <w:r w:rsidR="001164F4">
        <w:rPr>
          <w:sz w:val="26"/>
          <w:szCs w:val="26"/>
        </w:rPr>
        <w:t xml:space="preserve">Penelec (and Penn Power, </w:t>
      </w:r>
      <w:r>
        <w:rPr>
          <w:sz w:val="26"/>
          <w:szCs w:val="26"/>
        </w:rPr>
        <w:t xml:space="preserve">when it </w:t>
      </w:r>
      <w:r w:rsidR="00100D31">
        <w:rPr>
          <w:sz w:val="26"/>
          <w:szCs w:val="26"/>
        </w:rPr>
        <w:t xml:space="preserve">joins </w:t>
      </w:r>
      <w:r>
        <w:rPr>
          <w:sz w:val="26"/>
          <w:szCs w:val="26"/>
        </w:rPr>
        <w:t>PJM) to bid their</w:t>
      </w:r>
      <w:r w:rsidRPr="00E0170D">
        <w:rPr>
          <w:sz w:val="26"/>
          <w:szCs w:val="26"/>
        </w:rPr>
        <w:t xml:space="preserve"> demand response measures into the PJM RPM</w:t>
      </w:r>
      <w:r>
        <w:rPr>
          <w:sz w:val="26"/>
          <w:szCs w:val="26"/>
        </w:rPr>
        <w:t xml:space="preserve">.  We expect these Companies to take full advantage of savings made available from PJM programs.  As noted above, FirstEnergy supports the OCA’s recommendation.  FirstEnergy should be commended for showing a willingness to avail itself and its ratepayers of the possible capacity payments from PJM’s RPM program. </w:t>
      </w:r>
    </w:p>
    <w:p w:rsidR="00930E63" w:rsidRDefault="00930E63" w:rsidP="00B32FDD">
      <w:pPr>
        <w:spacing w:line="360" w:lineRule="auto"/>
        <w:rPr>
          <w:sz w:val="26"/>
          <w:szCs w:val="26"/>
        </w:rPr>
      </w:pPr>
    </w:p>
    <w:p w:rsidR="00930E63" w:rsidRDefault="00F300C7" w:rsidP="00930E63">
      <w:pPr>
        <w:pStyle w:val="Heading4"/>
        <w:spacing w:line="240" w:lineRule="auto"/>
        <w:ind w:left="2880" w:hanging="720"/>
      </w:pPr>
      <w:bookmarkStart w:id="201" w:name="_Toc242516315"/>
      <w:bookmarkStart w:id="202" w:name="_Toc244499371"/>
      <w:r>
        <w:t>f</w:t>
      </w:r>
      <w:r w:rsidR="001E3672">
        <w:t>.</w:t>
      </w:r>
      <w:r>
        <w:tab/>
        <w:t>EE&amp;C Plans and</w:t>
      </w:r>
      <w:r w:rsidR="00930E63">
        <w:t xml:space="preserve"> Rate Base</w:t>
      </w:r>
      <w:r>
        <w:t xml:space="preserve"> Proceedings</w:t>
      </w:r>
      <w:bookmarkEnd w:id="201"/>
      <w:bookmarkEnd w:id="202"/>
    </w:p>
    <w:p w:rsidR="00930E63" w:rsidRDefault="00930E63" w:rsidP="00930E63"/>
    <w:p w:rsidR="00930E63" w:rsidRPr="00B32FDD" w:rsidRDefault="00930E63" w:rsidP="00930E63"/>
    <w:p w:rsidR="00930E63" w:rsidRPr="00C105A3" w:rsidRDefault="00930E63" w:rsidP="00930E63">
      <w:pPr>
        <w:pStyle w:val="Heading5"/>
        <w:spacing w:line="240" w:lineRule="auto"/>
        <w:ind w:left="3600" w:hanging="720"/>
      </w:pPr>
      <w:bookmarkStart w:id="203" w:name="_Toc242516316"/>
      <w:bookmarkStart w:id="204" w:name="_Toc244499372"/>
      <w:r>
        <w:t>(1</w:t>
      </w:r>
      <w:r w:rsidRPr="00C105A3">
        <w:t xml:space="preserve">)  </w:t>
      </w:r>
      <w:r>
        <w:tab/>
        <w:t>Positions of the Parties</w:t>
      </w:r>
      <w:bookmarkEnd w:id="203"/>
      <w:bookmarkEnd w:id="204"/>
    </w:p>
    <w:p w:rsidR="00930E63" w:rsidRDefault="00930E63" w:rsidP="00930E63">
      <w:pPr>
        <w:spacing w:line="360" w:lineRule="auto"/>
        <w:rPr>
          <w:sz w:val="26"/>
          <w:szCs w:val="26"/>
        </w:rPr>
      </w:pPr>
    </w:p>
    <w:p w:rsidR="00930E63" w:rsidRDefault="00F7217C" w:rsidP="00F7217C">
      <w:pPr>
        <w:spacing w:line="360" w:lineRule="auto"/>
        <w:ind w:firstLine="1440"/>
        <w:rPr>
          <w:sz w:val="26"/>
          <w:szCs w:val="26"/>
        </w:rPr>
      </w:pPr>
      <w:r>
        <w:rPr>
          <w:sz w:val="26"/>
          <w:szCs w:val="26"/>
        </w:rPr>
        <w:t>The OTS submits that all capital assets (and associated depreciation) funded by EE&amp;C revenues should be excluded from base rates and not included</w:t>
      </w:r>
      <w:r w:rsidR="001164F4">
        <w:rPr>
          <w:sz w:val="26"/>
          <w:szCs w:val="26"/>
        </w:rPr>
        <w:t xml:space="preserve"> in any future rate base claim.</w:t>
      </w:r>
      <w:r>
        <w:rPr>
          <w:sz w:val="26"/>
          <w:szCs w:val="26"/>
        </w:rPr>
        <w:t xml:space="preserve">  OTS MB at </w:t>
      </w:r>
      <w:r w:rsidR="0005549C">
        <w:rPr>
          <w:sz w:val="26"/>
          <w:szCs w:val="26"/>
        </w:rPr>
        <w:t xml:space="preserve">34.  </w:t>
      </w:r>
      <w:r w:rsidR="00B77FBB">
        <w:rPr>
          <w:sz w:val="26"/>
          <w:szCs w:val="26"/>
        </w:rPr>
        <w:t>FirstEnergy contends that the OTS’ recommendation is unnecessary because FirstEnergy’s witness stated “All Energy Efficiency and Conservation Plan costs and revenues included in the Companies’ EEC-C Riders will be excluded from distribution base rate treatment and subject to Commission review and audit.”  FirstEnergy St. 3-R at 6; FirstEnergy RB at 45.</w:t>
      </w:r>
    </w:p>
    <w:p w:rsidR="00930E63" w:rsidRDefault="00930E63" w:rsidP="00930E63">
      <w:pPr>
        <w:spacing w:line="360" w:lineRule="auto"/>
        <w:rPr>
          <w:sz w:val="26"/>
          <w:szCs w:val="26"/>
        </w:rPr>
      </w:pPr>
    </w:p>
    <w:p w:rsidR="00930E63" w:rsidRPr="00C105A3" w:rsidRDefault="00930E63" w:rsidP="00930E63">
      <w:pPr>
        <w:pStyle w:val="Heading5"/>
        <w:spacing w:line="240" w:lineRule="auto"/>
        <w:ind w:left="3600" w:hanging="720"/>
      </w:pPr>
      <w:bookmarkStart w:id="205" w:name="_Toc242516317"/>
      <w:bookmarkStart w:id="206" w:name="_Toc244499373"/>
      <w:r>
        <w:t>(2</w:t>
      </w:r>
      <w:r w:rsidRPr="00C105A3">
        <w:t xml:space="preserve">)  </w:t>
      </w:r>
      <w:r>
        <w:tab/>
        <w:t>Disposition</w:t>
      </w:r>
      <w:bookmarkEnd w:id="205"/>
      <w:bookmarkEnd w:id="206"/>
    </w:p>
    <w:p w:rsidR="00930E63" w:rsidRDefault="00930E63" w:rsidP="00930E63">
      <w:pPr>
        <w:spacing w:line="360" w:lineRule="auto"/>
        <w:rPr>
          <w:sz w:val="26"/>
          <w:szCs w:val="26"/>
        </w:rPr>
      </w:pPr>
    </w:p>
    <w:p w:rsidR="0005549C" w:rsidRDefault="0005549C" w:rsidP="0005549C">
      <w:pPr>
        <w:spacing w:line="360" w:lineRule="auto"/>
        <w:ind w:firstLine="1440"/>
        <w:rPr>
          <w:sz w:val="26"/>
          <w:szCs w:val="26"/>
        </w:rPr>
      </w:pPr>
      <w:r>
        <w:rPr>
          <w:sz w:val="26"/>
          <w:szCs w:val="26"/>
        </w:rPr>
        <w:t>We concur with the OTS’ recommendation</w:t>
      </w:r>
      <w:r w:rsidR="00B77FBB">
        <w:rPr>
          <w:sz w:val="26"/>
          <w:szCs w:val="26"/>
        </w:rPr>
        <w:t xml:space="preserve">.  </w:t>
      </w:r>
      <w:r>
        <w:rPr>
          <w:sz w:val="26"/>
          <w:szCs w:val="26"/>
        </w:rPr>
        <w:t xml:space="preserve">By this </w:t>
      </w:r>
      <w:r w:rsidR="003A5D24">
        <w:rPr>
          <w:sz w:val="26"/>
          <w:szCs w:val="26"/>
        </w:rPr>
        <w:t>Opinion and Order</w:t>
      </w:r>
      <w:r>
        <w:rPr>
          <w:sz w:val="26"/>
          <w:szCs w:val="26"/>
        </w:rPr>
        <w:t>, we clarify that capital costs recovered by the Companies through the EEC-C rider will not be included in future rate case proceedings.</w:t>
      </w:r>
    </w:p>
    <w:p w:rsidR="005B7588" w:rsidRDefault="005B7588" w:rsidP="005B7588">
      <w:pPr>
        <w:pStyle w:val="Heading4"/>
        <w:spacing w:line="240" w:lineRule="auto"/>
        <w:ind w:left="2880" w:hanging="720"/>
      </w:pPr>
    </w:p>
    <w:p w:rsidR="00930E63" w:rsidRDefault="005B7588" w:rsidP="00930E63">
      <w:pPr>
        <w:pStyle w:val="Heading4"/>
        <w:spacing w:line="240" w:lineRule="auto"/>
        <w:ind w:left="2880" w:hanging="720"/>
      </w:pPr>
      <w:bookmarkStart w:id="207" w:name="_Toc242516318"/>
      <w:bookmarkStart w:id="208" w:name="_Toc244499374"/>
      <w:r>
        <w:t>g</w:t>
      </w:r>
      <w:r w:rsidR="001E3672">
        <w:t>.</w:t>
      </w:r>
      <w:r>
        <w:tab/>
      </w:r>
      <w:r w:rsidR="00930E63">
        <w:t xml:space="preserve">Contingency </w:t>
      </w:r>
      <w:bookmarkEnd w:id="207"/>
      <w:r w:rsidR="00A159D3">
        <w:t>Reserve</w:t>
      </w:r>
      <w:bookmarkEnd w:id="208"/>
    </w:p>
    <w:p w:rsidR="00930E63" w:rsidRDefault="00930E63" w:rsidP="00930E63"/>
    <w:p w:rsidR="00930E63" w:rsidRPr="00B32FDD" w:rsidRDefault="00930E63" w:rsidP="00930E63"/>
    <w:p w:rsidR="00930E63" w:rsidRPr="00C105A3" w:rsidRDefault="00930E63" w:rsidP="00930E63">
      <w:pPr>
        <w:pStyle w:val="Heading5"/>
        <w:spacing w:line="240" w:lineRule="auto"/>
        <w:ind w:left="3600" w:hanging="720"/>
      </w:pPr>
      <w:bookmarkStart w:id="209" w:name="_Toc242516319"/>
      <w:bookmarkStart w:id="210" w:name="_Toc244499375"/>
      <w:r>
        <w:t>(1</w:t>
      </w:r>
      <w:r w:rsidRPr="00C105A3">
        <w:t xml:space="preserve">)  </w:t>
      </w:r>
      <w:r>
        <w:tab/>
        <w:t>Positions of the Parties</w:t>
      </w:r>
      <w:bookmarkEnd w:id="209"/>
      <w:bookmarkEnd w:id="210"/>
    </w:p>
    <w:p w:rsidR="00930E63" w:rsidRDefault="00930E63" w:rsidP="00930E63">
      <w:pPr>
        <w:spacing w:line="360" w:lineRule="auto"/>
        <w:rPr>
          <w:sz w:val="26"/>
          <w:szCs w:val="26"/>
        </w:rPr>
      </w:pPr>
    </w:p>
    <w:p w:rsidR="0054205C" w:rsidRDefault="0054205C" w:rsidP="0054205C">
      <w:pPr>
        <w:spacing w:line="360" w:lineRule="auto"/>
        <w:ind w:firstLine="1440"/>
        <w:rPr>
          <w:sz w:val="26"/>
          <w:szCs w:val="26"/>
        </w:rPr>
      </w:pPr>
      <w:r>
        <w:rPr>
          <w:sz w:val="26"/>
          <w:szCs w:val="26"/>
        </w:rPr>
        <w:t>As stated previously, i</w:t>
      </w:r>
      <w:r w:rsidRPr="00396FCD">
        <w:rPr>
          <w:sz w:val="26"/>
          <w:szCs w:val="26"/>
        </w:rPr>
        <w:t xml:space="preserve">n response to </w:t>
      </w:r>
      <w:r>
        <w:rPr>
          <w:sz w:val="26"/>
          <w:szCs w:val="26"/>
        </w:rPr>
        <w:t xml:space="preserve">the OCA’s </w:t>
      </w:r>
      <w:r w:rsidRPr="00396FCD">
        <w:rPr>
          <w:sz w:val="26"/>
          <w:szCs w:val="26"/>
        </w:rPr>
        <w:t xml:space="preserve">comments that costs associated with the Residential Direct Load Control </w:t>
      </w:r>
      <w:r>
        <w:rPr>
          <w:sz w:val="26"/>
          <w:szCs w:val="26"/>
        </w:rPr>
        <w:t>Programs included amounts that would not be incurred during the period covered by the Plan</w:t>
      </w:r>
      <w:r w:rsidRPr="00396FCD">
        <w:rPr>
          <w:sz w:val="26"/>
          <w:szCs w:val="26"/>
        </w:rPr>
        <w:t>, the Companies</w:t>
      </w:r>
      <w:r>
        <w:rPr>
          <w:sz w:val="26"/>
          <w:szCs w:val="26"/>
        </w:rPr>
        <w:t xml:space="preserve">’ September 21, 2009 Plans </w:t>
      </w:r>
      <w:r w:rsidRPr="00396FCD">
        <w:rPr>
          <w:sz w:val="26"/>
          <w:szCs w:val="26"/>
        </w:rPr>
        <w:t xml:space="preserve">reduced the budget for </w:t>
      </w:r>
      <w:r>
        <w:rPr>
          <w:sz w:val="26"/>
          <w:szCs w:val="26"/>
        </w:rPr>
        <w:t>that Program b</w:t>
      </w:r>
      <w:r w:rsidRPr="00396FCD">
        <w:rPr>
          <w:sz w:val="26"/>
          <w:szCs w:val="26"/>
        </w:rPr>
        <w:t>y approximately $12 million for Met- Ed; approximatel</w:t>
      </w:r>
      <w:r>
        <w:rPr>
          <w:sz w:val="26"/>
          <w:szCs w:val="26"/>
        </w:rPr>
        <w:t>y $12.5 million</w:t>
      </w:r>
      <w:r w:rsidRPr="00396FCD">
        <w:rPr>
          <w:sz w:val="26"/>
          <w:szCs w:val="26"/>
        </w:rPr>
        <w:t xml:space="preserve"> for Penele</w:t>
      </w:r>
      <w:r>
        <w:rPr>
          <w:sz w:val="26"/>
          <w:szCs w:val="26"/>
        </w:rPr>
        <w:t>c; and approximately $1 million</w:t>
      </w:r>
      <w:r w:rsidRPr="00396FCD">
        <w:rPr>
          <w:sz w:val="26"/>
          <w:szCs w:val="26"/>
        </w:rPr>
        <w:t xml:space="preserve"> for Penn Power. </w:t>
      </w:r>
      <w:r w:rsidR="00325C92">
        <w:rPr>
          <w:sz w:val="26"/>
          <w:szCs w:val="26"/>
        </w:rPr>
        <w:t xml:space="preserve"> </w:t>
      </w:r>
      <w:r w:rsidRPr="00396FCD">
        <w:rPr>
          <w:sz w:val="26"/>
          <w:szCs w:val="26"/>
        </w:rPr>
        <w:t xml:space="preserve">These funds </w:t>
      </w:r>
      <w:r w:rsidR="00325C92">
        <w:rPr>
          <w:sz w:val="26"/>
          <w:szCs w:val="26"/>
        </w:rPr>
        <w:t>were</w:t>
      </w:r>
      <w:r w:rsidRPr="00396FCD">
        <w:rPr>
          <w:sz w:val="26"/>
          <w:szCs w:val="26"/>
        </w:rPr>
        <w:t xml:space="preserve"> reallocated for</w:t>
      </w:r>
      <w:r w:rsidR="00753610">
        <w:rPr>
          <w:sz w:val="26"/>
          <w:szCs w:val="26"/>
        </w:rPr>
        <w:t>:</w:t>
      </w:r>
      <w:r w:rsidRPr="00396FCD">
        <w:rPr>
          <w:sz w:val="26"/>
          <w:szCs w:val="26"/>
        </w:rPr>
        <w:t xml:space="preserve"> (</w:t>
      </w:r>
      <w:r w:rsidR="00753610">
        <w:rPr>
          <w:sz w:val="26"/>
          <w:szCs w:val="26"/>
        </w:rPr>
        <w:t>1</w:t>
      </w:r>
      <w:r w:rsidRPr="00396FCD">
        <w:rPr>
          <w:sz w:val="26"/>
          <w:szCs w:val="26"/>
        </w:rPr>
        <w:t xml:space="preserve">) additional </w:t>
      </w:r>
      <w:r w:rsidR="003A49E6">
        <w:rPr>
          <w:sz w:val="26"/>
          <w:szCs w:val="26"/>
        </w:rPr>
        <w:t>low-income</w:t>
      </w:r>
      <w:r w:rsidRPr="00396FCD">
        <w:rPr>
          <w:sz w:val="26"/>
          <w:szCs w:val="26"/>
        </w:rPr>
        <w:t xml:space="preserve"> programs; (</w:t>
      </w:r>
      <w:r w:rsidR="00753610">
        <w:rPr>
          <w:sz w:val="26"/>
          <w:szCs w:val="26"/>
        </w:rPr>
        <w:t>2</w:t>
      </w:r>
      <w:r w:rsidRPr="00396FCD">
        <w:rPr>
          <w:sz w:val="26"/>
          <w:szCs w:val="26"/>
        </w:rPr>
        <w:t>) enhanced evaluation, measurement and verification (“EM&amp;V”) processes; and (</w:t>
      </w:r>
      <w:r w:rsidR="00753610">
        <w:rPr>
          <w:sz w:val="26"/>
          <w:szCs w:val="26"/>
        </w:rPr>
        <w:t>3</w:t>
      </w:r>
      <w:r w:rsidRPr="00396FCD">
        <w:rPr>
          <w:sz w:val="26"/>
          <w:szCs w:val="26"/>
        </w:rPr>
        <w:t xml:space="preserve">) a contingency reserve for unforeseen events that may arise during </w:t>
      </w:r>
      <w:r w:rsidR="00325C92">
        <w:rPr>
          <w:sz w:val="26"/>
          <w:szCs w:val="26"/>
        </w:rPr>
        <w:t xml:space="preserve">the period in which the </w:t>
      </w:r>
      <w:r w:rsidRPr="00396FCD">
        <w:rPr>
          <w:sz w:val="26"/>
          <w:szCs w:val="26"/>
        </w:rPr>
        <w:t>Plans are in effect.</w:t>
      </w:r>
      <w:r>
        <w:rPr>
          <w:sz w:val="26"/>
          <w:szCs w:val="26"/>
        </w:rPr>
        <w:t xml:space="preserve">  FirstEnergy RB</w:t>
      </w:r>
      <w:r w:rsidR="003171EE">
        <w:rPr>
          <w:sz w:val="26"/>
          <w:szCs w:val="26"/>
        </w:rPr>
        <w:t xml:space="preserve"> at</w:t>
      </w:r>
      <w:r>
        <w:rPr>
          <w:sz w:val="26"/>
          <w:szCs w:val="26"/>
        </w:rPr>
        <w:t xml:space="preserve"> 3.  </w:t>
      </w:r>
    </w:p>
    <w:p w:rsidR="0054205C" w:rsidRDefault="0054205C" w:rsidP="0054205C">
      <w:pPr>
        <w:spacing w:line="360" w:lineRule="auto"/>
        <w:ind w:firstLine="1440"/>
        <w:rPr>
          <w:sz w:val="26"/>
          <w:szCs w:val="26"/>
        </w:rPr>
      </w:pPr>
    </w:p>
    <w:p w:rsidR="0054205C" w:rsidRDefault="0054205C" w:rsidP="0054205C">
      <w:pPr>
        <w:spacing w:line="360" w:lineRule="auto"/>
        <w:ind w:firstLine="1440"/>
        <w:rPr>
          <w:sz w:val="26"/>
          <w:szCs w:val="26"/>
        </w:rPr>
      </w:pPr>
      <w:r>
        <w:rPr>
          <w:sz w:val="26"/>
          <w:szCs w:val="26"/>
        </w:rPr>
        <w:t>FirstEnergy</w:t>
      </w:r>
      <w:r w:rsidR="00603213">
        <w:rPr>
          <w:sz w:val="26"/>
          <w:szCs w:val="26"/>
        </w:rPr>
        <w:t>’s September 21, 2009 Plans</w:t>
      </w:r>
      <w:r>
        <w:rPr>
          <w:sz w:val="26"/>
          <w:szCs w:val="26"/>
        </w:rPr>
        <w:t xml:space="preserve"> provided supplemental details regarding revised spending levels for </w:t>
      </w:r>
      <w:r w:rsidR="00603213">
        <w:rPr>
          <w:sz w:val="26"/>
          <w:szCs w:val="26"/>
        </w:rPr>
        <w:t xml:space="preserve">its EE&amp;C Plans.  FirstEnergy RB at 3.  </w:t>
      </w:r>
      <w:r>
        <w:rPr>
          <w:sz w:val="26"/>
          <w:szCs w:val="26"/>
        </w:rPr>
        <w:t>Absent from Fir</w:t>
      </w:r>
      <w:r w:rsidR="00F23829">
        <w:rPr>
          <w:sz w:val="26"/>
          <w:szCs w:val="26"/>
        </w:rPr>
        <w:t>stEnergy’s data</w:t>
      </w:r>
      <w:r w:rsidR="00603213">
        <w:rPr>
          <w:sz w:val="26"/>
          <w:szCs w:val="26"/>
        </w:rPr>
        <w:t xml:space="preserve">, however, </w:t>
      </w:r>
      <w:r>
        <w:rPr>
          <w:sz w:val="26"/>
          <w:szCs w:val="26"/>
        </w:rPr>
        <w:t xml:space="preserve">is the amount proposed to be set aside in a contingency reserve for unforeseen events.  </w:t>
      </w:r>
    </w:p>
    <w:p w:rsidR="0054205C" w:rsidRDefault="0054205C" w:rsidP="0054205C">
      <w:pPr>
        <w:spacing w:line="360" w:lineRule="auto"/>
        <w:ind w:firstLine="1440"/>
        <w:rPr>
          <w:sz w:val="26"/>
          <w:szCs w:val="26"/>
        </w:rPr>
      </w:pPr>
    </w:p>
    <w:p w:rsidR="00930E63" w:rsidRPr="00C105A3" w:rsidRDefault="00930E63" w:rsidP="00930E63">
      <w:pPr>
        <w:pStyle w:val="Heading5"/>
        <w:spacing w:line="240" w:lineRule="auto"/>
        <w:ind w:left="3600" w:hanging="720"/>
      </w:pPr>
      <w:bookmarkStart w:id="211" w:name="_Toc242516320"/>
      <w:bookmarkStart w:id="212" w:name="_Toc244499376"/>
      <w:r>
        <w:t>(2</w:t>
      </w:r>
      <w:r w:rsidRPr="00C105A3">
        <w:t xml:space="preserve">)  </w:t>
      </w:r>
      <w:r>
        <w:tab/>
        <w:t>Disposition</w:t>
      </w:r>
      <w:bookmarkEnd w:id="211"/>
      <w:bookmarkEnd w:id="212"/>
    </w:p>
    <w:p w:rsidR="006C52FF" w:rsidRDefault="006C52FF" w:rsidP="00486CBB">
      <w:pPr>
        <w:spacing w:line="360" w:lineRule="auto"/>
        <w:rPr>
          <w:sz w:val="26"/>
          <w:szCs w:val="26"/>
        </w:rPr>
      </w:pPr>
    </w:p>
    <w:p w:rsidR="003C1BC5" w:rsidRDefault="0054205C" w:rsidP="0054205C">
      <w:pPr>
        <w:spacing w:line="360" w:lineRule="auto"/>
        <w:ind w:firstLine="1440"/>
        <w:rPr>
          <w:sz w:val="26"/>
          <w:szCs w:val="26"/>
        </w:rPr>
      </w:pPr>
      <w:r w:rsidRPr="003C1BC5">
        <w:rPr>
          <w:sz w:val="26"/>
          <w:szCs w:val="26"/>
        </w:rPr>
        <w:t xml:space="preserve">We realize that the vast majority of all administrative and common costs are estimated.  However, we do not agree with assessing ratepayers for contingencies that the Companies have characterized as unforeseen.  </w:t>
      </w:r>
      <w:r w:rsidR="003C1BC5">
        <w:rPr>
          <w:sz w:val="26"/>
          <w:szCs w:val="26"/>
        </w:rPr>
        <w:t>It is our considered opinion that the inclusion of unmeasurable, unforeseen costs within rates to be recovered from ratepayers is unjust and unreasonable.  Moreover, p</w:t>
      </w:r>
      <w:r w:rsidR="00FA7830" w:rsidRPr="003C1BC5">
        <w:rPr>
          <w:sz w:val="26"/>
          <w:szCs w:val="26"/>
        </w:rPr>
        <w:t xml:space="preserve">ermitting FirstEnergy to have such a fund would </w:t>
      </w:r>
      <w:r w:rsidR="003C1BC5">
        <w:rPr>
          <w:sz w:val="26"/>
          <w:szCs w:val="26"/>
        </w:rPr>
        <w:t xml:space="preserve">undermine </w:t>
      </w:r>
      <w:r w:rsidR="00FA7830" w:rsidRPr="003C1BC5">
        <w:rPr>
          <w:sz w:val="26"/>
          <w:szCs w:val="26"/>
        </w:rPr>
        <w:t xml:space="preserve">our holding in Section V.D.4. below </w:t>
      </w:r>
      <w:r w:rsidR="003C1BC5" w:rsidRPr="003C1BC5">
        <w:rPr>
          <w:sz w:val="26"/>
          <w:szCs w:val="26"/>
        </w:rPr>
        <w:t xml:space="preserve">that an EDC cannot shift program funds within a customer class, or between customer classes without prior Commission approval.  </w:t>
      </w:r>
      <w:r>
        <w:rPr>
          <w:sz w:val="26"/>
          <w:szCs w:val="26"/>
        </w:rPr>
        <w:t>Accordingly, we</w:t>
      </w:r>
      <w:r w:rsidR="00A36BEF">
        <w:rPr>
          <w:sz w:val="26"/>
          <w:szCs w:val="26"/>
        </w:rPr>
        <w:t xml:space="preserve"> will disallow the proposed contingency reserve and order the </w:t>
      </w:r>
      <w:r w:rsidR="00A36BEF">
        <w:rPr>
          <w:sz w:val="26"/>
          <w:szCs w:val="26"/>
        </w:rPr>
        <w:lastRenderedPageBreak/>
        <w:t xml:space="preserve">Companies to </w:t>
      </w:r>
      <w:r w:rsidR="00C918CE">
        <w:rPr>
          <w:sz w:val="26"/>
          <w:szCs w:val="26"/>
        </w:rPr>
        <w:t xml:space="preserve">revise their Plans, and the accompanying cost recovery mechanism, to </w:t>
      </w:r>
      <w:r w:rsidR="00A36BEF">
        <w:rPr>
          <w:sz w:val="26"/>
          <w:szCs w:val="26"/>
        </w:rPr>
        <w:t xml:space="preserve">remove the </w:t>
      </w:r>
      <w:r w:rsidR="00C918CE">
        <w:rPr>
          <w:sz w:val="26"/>
          <w:szCs w:val="26"/>
        </w:rPr>
        <w:t xml:space="preserve">contingency reserve </w:t>
      </w:r>
      <w:r>
        <w:rPr>
          <w:sz w:val="26"/>
          <w:szCs w:val="26"/>
        </w:rPr>
        <w:t xml:space="preserve">from </w:t>
      </w:r>
      <w:r w:rsidR="003C1BC5">
        <w:rPr>
          <w:sz w:val="26"/>
          <w:szCs w:val="26"/>
        </w:rPr>
        <w:t>the</w:t>
      </w:r>
      <w:r w:rsidR="001164F4">
        <w:rPr>
          <w:sz w:val="26"/>
          <w:szCs w:val="26"/>
        </w:rPr>
        <w:t xml:space="preserve"> estimated cost of the Plans and the</w:t>
      </w:r>
      <w:r w:rsidR="003C1BC5">
        <w:rPr>
          <w:sz w:val="26"/>
          <w:szCs w:val="26"/>
        </w:rPr>
        <w:t xml:space="preserve"> </w:t>
      </w:r>
      <w:r>
        <w:rPr>
          <w:sz w:val="26"/>
          <w:szCs w:val="26"/>
        </w:rPr>
        <w:t xml:space="preserve">calculation of the recovery rate developed herein.  </w:t>
      </w:r>
    </w:p>
    <w:p w:rsidR="00A4562B" w:rsidRDefault="00A4562B" w:rsidP="005B1144">
      <w:pPr>
        <w:spacing w:line="360" w:lineRule="auto"/>
        <w:ind w:firstLine="1440"/>
        <w:rPr>
          <w:sz w:val="26"/>
          <w:szCs w:val="26"/>
        </w:rPr>
      </w:pPr>
    </w:p>
    <w:p w:rsidR="000A1EAC" w:rsidRPr="00231C05" w:rsidRDefault="000A1EAC" w:rsidP="000A1EAC">
      <w:pPr>
        <w:pStyle w:val="Heading2"/>
        <w:rPr>
          <w:rFonts w:cs="Times New Roman"/>
        </w:rPr>
      </w:pPr>
      <w:bookmarkStart w:id="213" w:name="_Toc242516321"/>
      <w:bookmarkStart w:id="214" w:name="_Toc244499377"/>
      <w:r w:rsidRPr="00231C05">
        <w:rPr>
          <w:rFonts w:cs="Times New Roman"/>
        </w:rPr>
        <w:t xml:space="preserve">C.  </w:t>
      </w:r>
      <w:r w:rsidRPr="00231C05">
        <w:rPr>
          <w:rFonts w:cs="Times New Roman"/>
        </w:rPr>
        <w:tab/>
        <w:t>C</w:t>
      </w:r>
      <w:r w:rsidR="00AA19A1">
        <w:rPr>
          <w:rFonts w:cs="Times New Roman"/>
        </w:rPr>
        <w:t xml:space="preserve">onservation </w:t>
      </w:r>
      <w:r w:rsidRPr="00231C05">
        <w:rPr>
          <w:rFonts w:cs="Times New Roman"/>
        </w:rPr>
        <w:t>S</w:t>
      </w:r>
      <w:r w:rsidR="00AA19A1">
        <w:rPr>
          <w:rFonts w:cs="Times New Roman"/>
        </w:rPr>
        <w:t xml:space="preserve">ervice </w:t>
      </w:r>
      <w:r w:rsidRPr="00231C05">
        <w:rPr>
          <w:rFonts w:cs="Times New Roman"/>
        </w:rPr>
        <w:t>P</w:t>
      </w:r>
      <w:r w:rsidR="00AA19A1">
        <w:rPr>
          <w:rFonts w:cs="Times New Roman"/>
        </w:rPr>
        <w:t>rovider</w:t>
      </w:r>
      <w:r w:rsidRPr="00231C05">
        <w:rPr>
          <w:rFonts w:cs="Times New Roman"/>
        </w:rPr>
        <w:t xml:space="preserve"> Issues</w:t>
      </w:r>
      <w:bookmarkEnd w:id="213"/>
      <w:bookmarkEnd w:id="214"/>
    </w:p>
    <w:p w:rsidR="000A1EAC" w:rsidRPr="00231C05" w:rsidRDefault="000A1EAC" w:rsidP="000A1EAC">
      <w:pPr>
        <w:spacing w:line="360" w:lineRule="auto"/>
        <w:ind w:firstLine="1440"/>
        <w:rPr>
          <w:sz w:val="26"/>
          <w:szCs w:val="26"/>
        </w:rPr>
      </w:pPr>
    </w:p>
    <w:p w:rsidR="00570386" w:rsidRPr="00231C05" w:rsidRDefault="00570386" w:rsidP="00570386">
      <w:pPr>
        <w:spacing w:line="360" w:lineRule="auto"/>
        <w:ind w:firstLine="1440"/>
        <w:rPr>
          <w:sz w:val="26"/>
          <w:szCs w:val="26"/>
        </w:rPr>
      </w:pPr>
      <w:r w:rsidRPr="00231C05">
        <w:rPr>
          <w:sz w:val="26"/>
          <w:szCs w:val="26"/>
        </w:rPr>
        <w:t xml:space="preserve">The Commission’s EE&amp;C Program must include a requirement for the participation of </w:t>
      </w:r>
      <w:r>
        <w:rPr>
          <w:sz w:val="26"/>
          <w:szCs w:val="26"/>
        </w:rPr>
        <w:t>conservation service provider</w:t>
      </w:r>
      <w:r w:rsidRPr="00231C05">
        <w:rPr>
          <w:sz w:val="26"/>
          <w:szCs w:val="26"/>
        </w:rPr>
        <w:t xml:space="preserve">s in the implementation of all or part of a plan.  66 Pa. C.S. § 2806.1(a)(10).  The Commission is required to establish procedures requiring EDCs to competitively bid all contracts with </w:t>
      </w:r>
      <w:r>
        <w:rPr>
          <w:sz w:val="26"/>
          <w:szCs w:val="26"/>
        </w:rPr>
        <w:t>conservation service provider</w:t>
      </w:r>
      <w:r w:rsidR="00EA6F69">
        <w:rPr>
          <w:sz w:val="26"/>
          <w:szCs w:val="26"/>
        </w:rPr>
        <w:t>s.  66 </w:t>
      </w:r>
      <w:r w:rsidRPr="00231C05">
        <w:rPr>
          <w:sz w:val="26"/>
          <w:szCs w:val="26"/>
        </w:rPr>
        <w:t>Pa. C.S. § 2806.1(a)(7).  The Commission is also required to establish procedures to review</w:t>
      </w:r>
      <w:r>
        <w:rPr>
          <w:sz w:val="26"/>
          <w:szCs w:val="26"/>
        </w:rPr>
        <w:t xml:space="preserve"> all proposed contracts with conservation service provider</w:t>
      </w:r>
      <w:r w:rsidRPr="00231C05">
        <w:rPr>
          <w:sz w:val="26"/>
          <w:szCs w:val="26"/>
        </w:rPr>
        <w:t xml:space="preserve">s prior to the execution of the contract.  66 Pa. C.S. § 2806.1(a)(8).  The Commission has the authority to order the modification of a contract to ensure that plans meet consumption reduction requirements.  </w:t>
      </w:r>
    </w:p>
    <w:p w:rsidR="00570386" w:rsidRPr="00231C05" w:rsidRDefault="00570386" w:rsidP="00570386">
      <w:pPr>
        <w:spacing w:line="360" w:lineRule="auto"/>
        <w:ind w:firstLine="1440"/>
        <w:rPr>
          <w:sz w:val="26"/>
          <w:szCs w:val="26"/>
        </w:rPr>
      </w:pPr>
    </w:p>
    <w:p w:rsidR="00570386" w:rsidRPr="00231C05" w:rsidRDefault="00570386" w:rsidP="00570386">
      <w:pPr>
        <w:spacing w:line="360" w:lineRule="auto"/>
        <w:ind w:firstLine="1440"/>
        <w:rPr>
          <w:sz w:val="26"/>
          <w:szCs w:val="26"/>
        </w:rPr>
      </w:pPr>
      <w:r w:rsidRPr="00231C05">
        <w:rPr>
          <w:sz w:val="26"/>
          <w:szCs w:val="26"/>
        </w:rPr>
        <w:t>Consequently, each EDC must include in its plan</w:t>
      </w:r>
      <w:r>
        <w:rPr>
          <w:sz w:val="26"/>
          <w:szCs w:val="26"/>
        </w:rPr>
        <w:t xml:space="preserve"> a contract with one or more conservation service provider</w:t>
      </w:r>
      <w:r w:rsidRPr="00231C05">
        <w:rPr>
          <w:sz w:val="26"/>
          <w:szCs w:val="26"/>
        </w:rPr>
        <w:t xml:space="preserve">s selected by competitive bid to implement all or part of the plan as approved by the Commission.  66 Pa. C.S. § 2806.1(b)(1)(i)(E).  The </w:t>
      </w:r>
      <w:r w:rsidRPr="00231C05">
        <w:rPr>
          <w:i/>
          <w:sz w:val="26"/>
          <w:szCs w:val="26"/>
        </w:rPr>
        <w:t>Implementation Order</w:t>
      </w:r>
      <w:r w:rsidRPr="00231C05">
        <w:rPr>
          <w:sz w:val="26"/>
          <w:szCs w:val="26"/>
        </w:rPr>
        <w:t>, at 25</w:t>
      </w:r>
      <w:r w:rsidRPr="00231C05">
        <w:rPr>
          <w:i/>
          <w:sz w:val="26"/>
          <w:szCs w:val="26"/>
        </w:rPr>
        <w:t>,</w:t>
      </w:r>
      <w:r w:rsidRPr="00231C05">
        <w:rPr>
          <w:sz w:val="26"/>
          <w:szCs w:val="26"/>
        </w:rPr>
        <w:t xml:space="preserve"> noted that, due to the aggressive design and implementation schedule set forth in Act 129, EDCs were not expected to have all</w:t>
      </w:r>
      <w:r>
        <w:rPr>
          <w:sz w:val="26"/>
          <w:szCs w:val="26"/>
        </w:rPr>
        <w:t xml:space="preserve"> bids for and contracts with conservation service provider</w:t>
      </w:r>
      <w:r w:rsidRPr="00231C05">
        <w:rPr>
          <w:sz w:val="26"/>
          <w:szCs w:val="26"/>
        </w:rPr>
        <w:t xml:space="preserve">s completed by the July 1, 2009 plan filing.  However, the Commission stated that each filed plan was expected to include </w:t>
      </w:r>
      <w:r>
        <w:rPr>
          <w:sz w:val="26"/>
          <w:szCs w:val="26"/>
        </w:rPr>
        <w:t>at least one contract with a conservation service provider</w:t>
      </w:r>
      <w:r w:rsidRPr="00231C05">
        <w:rPr>
          <w:sz w:val="26"/>
          <w:szCs w:val="26"/>
        </w:rPr>
        <w:t xml:space="preserve">.  The </w:t>
      </w:r>
      <w:r w:rsidRPr="00231C05">
        <w:rPr>
          <w:i/>
          <w:sz w:val="26"/>
          <w:szCs w:val="26"/>
        </w:rPr>
        <w:t>Implementation Order</w:t>
      </w:r>
      <w:r w:rsidRPr="00231C05">
        <w:rPr>
          <w:sz w:val="26"/>
          <w:szCs w:val="26"/>
        </w:rPr>
        <w:t xml:space="preserve"> established the criteria that the Commission will use in approving request for proposals (RFP) procedures and </w:t>
      </w:r>
      <w:r>
        <w:rPr>
          <w:sz w:val="26"/>
          <w:szCs w:val="26"/>
        </w:rPr>
        <w:t>standard form contracts for conservation service providers</w:t>
      </w:r>
      <w:r w:rsidRPr="00231C05">
        <w:rPr>
          <w:sz w:val="26"/>
          <w:szCs w:val="26"/>
        </w:rPr>
        <w:t xml:space="preserve">.  </w:t>
      </w:r>
      <w:r w:rsidRPr="00231C05">
        <w:rPr>
          <w:i/>
          <w:sz w:val="26"/>
          <w:szCs w:val="26"/>
        </w:rPr>
        <w:t>Implementation Order</w:t>
      </w:r>
      <w:r w:rsidRPr="00231C05">
        <w:rPr>
          <w:sz w:val="26"/>
          <w:szCs w:val="26"/>
        </w:rPr>
        <w:t xml:space="preserve"> at 25.</w:t>
      </w:r>
    </w:p>
    <w:p w:rsidR="00570386" w:rsidRPr="00231C05" w:rsidRDefault="00570386" w:rsidP="00570386">
      <w:pPr>
        <w:spacing w:line="360" w:lineRule="auto"/>
        <w:ind w:firstLine="1440"/>
        <w:rPr>
          <w:sz w:val="26"/>
          <w:szCs w:val="26"/>
        </w:rPr>
      </w:pPr>
    </w:p>
    <w:p w:rsidR="00570386" w:rsidRDefault="00570386" w:rsidP="00570386">
      <w:pPr>
        <w:spacing w:line="360" w:lineRule="auto"/>
        <w:ind w:firstLine="1440"/>
        <w:rPr>
          <w:sz w:val="26"/>
          <w:szCs w:val="26"/>
        </w:rPr>
      </w:pPr>
      <w:r>
        <w:rPr>
          <w:sz w:val="26"/>
          <w:szCs w:val="26"/>
        </w:rPr>
        <w:lastRenderedPageBreak/>
        <w:t>In the instant case, much unnecessary confusion has been caused by the use of the abbreviation “CSP.”  This is because “CSP” stands for two distinct terms.  A “CSP” under Act 129 is a “conservation service provider,” which is:</w:t>
      </w:r>
    </w:p>
    <w:p w:rsidR="00570386" w:rsidRDefault="00570386" w:rsidP="00570386">
      <w:pPr>
        <w:spacing w:line="360" w:lineRule="auto"/>
        <w:ind w:firstLine="1440"/>
        <w:rPr>
          <w:sz w:val="26"/>
          <w:szCs w:val="26"/>
        </w:rPr>
      </w:pPr>
    </w:p>
    <w:p w:rsidR="00570386" w:rsidRDefault="00570386" w:rsidP="00570386">
      <w:pPr>
        <w:ind w:left="1440" w:right="1440"/>
        <w:rPr>
          <w:sz w:val="26"/>
          <w:szCs w:val="26"/>
        </w:rPr>
      </w:pPr>
      <w:r>
        <w:rPr>
          <w:sz w:val="26"/>
          <w:szCs w:val="26"/>
        </w:rPr>
        <w:t xml:space="preserve">An entity that provides information and technical assistance on measures to enable a person to increase energy efficiency or reduce energy consumption and that has no direct or indirect ownership, partnership or other affiliated interest with an electric distribution company. </w:t>
      </w:r>
    </w:p>
    <w:p w:rsidR="00570386" w:rsidRDefault="00570386" w:rsidP="00570386">
      <w:pPr>
        <w:ind w:left="1440" w:right="1440"/>
        <w:rPr>
          <w:sz w:val="26"/>
          <w:szCs w:val="26"/>
        </w:rPr>
      </w:pPr>
    </w:p>
    <w:p w:rsidR="00570386" w:rsidRDefault="00570386" w:rsidP="00570386">
      <w:pPr>
        <w:ind w:left="1440" w:right="1440"/>
        <w:rPr>
          <w:sz w:val="26"/>
          <w:szCs w:val="26"/>
        </w:rPr>
      </w:pPr>
    </w:p>
    <w:p w:rsidR="00570386" w:rsidRDefault="00570386" w:rsidP="00570386">
      <w:pPr>
        <w:ind w:left="1440" w:right="1440" w:hanging="1440"/>
        <w:rPr>
          <w:sz w:val="26"/>
          <w:szCs w:val="26"/>
        </w:rPr>
      </w:pPr>
      <w:r>
        <w:rPr>
          <w:sz w:val="26"/>
          <w:szCs w:val="26"/>
        </w:rPr>
        <w:t>66 Pa. C.S. § 2806.1(</w:t>
      </w:r>
      <w:r w:rsidR="00E70DFA">
        <w:rPr>
          <w:sz w:val="26"/>
          <w:szCs w:val="26"/>
        </w:rPr>
        <w:t>m</w:t>
      </w:r>
      <w:r>
        <w:rPr>
          <w:sz w:val="26"/>
          <w:szCs w:val="26"/>
        </w:rPr>
        <w:t>).</w:t>
      </w:r>
    </w:p>
    <w:p w:rsidR="00570386" w:rsidRDefault="00570386" w:rsidP="00570386">
      <w:pPr>
        <w:spacing w:line="360" w:lineRule="auto"/>
        <w:ind w:firstLine="1440"/>
        <w:rPr>
          <w:sz w:val="26"/>
          <w:szCs w:val="26"/>
        </w:rPr>
      </w:pPr>
    </w:p>
    <w:p w:rsidR="00570386" w:rsidRDefault="00570386" w:rsidP="00570386">
      <w:pPr>
        <w:spacing w:line="360" w:lineRule="auto"/>
        <w:ind w:firstLine="1440"/>
        <w:rPr>
          <w:sz w:val="26"/>
          <w:szCs w:val="26"/>
        </w:rPr>
      </w:pPr>
      <w:r>
        <w:rPr>
          <w:sz w:val="26"/>
          <w:szCs w:val="26"/>
        </w:rPr>
        <w:t xml:space="preserve">A “CSP” under PJM demand response programs, in contrast, is a “curtailment service provider.”   We take judicial notice </w:t>
      </w:r>
      <w:r w:rsidR="00EA6F69">
        <w:rPr>
          <w:sz w:val="26"/>
          <w:szCs w:val="26"/>
        </w:rPr>
        <w:t>of PJM’s website pursuant to 52 </w:t>
      </w:r>
      <w:r>
        <w:rPr>
          <w:sz w:val="26"/>
          <w:szCs w:val="26"/>
        </w:rPr>
        <w:t>Pa. Code § 5.408(a), which explains this term:</w:t>
      </w:r>
      <w:r>
        <w:rPr>
          <w:rStyle w:val="FootnoteReference"/>
          <w:rFonts w:eastAsiaTheme="majorEastAsia"/>
        </w:rPr>
        <w:footnoteReference w:id="36"/>
      </w:r>
    </w:p>
    <w:p w:rsidR="00570386" w:rsidRDefault="00570386" w:rsidP="00570386">
      <w:pPr>
        <w:spacing w:line="360" w:lineRule="auto"/>
        <w:ind w:firstLine="1440"/>
        <w:rPr>
          <w:sz w:val="26"/>
          <w:szCs w:val="26"/>
        </w:rPr>
      </w:pPr>
    </w:p>
    <w:p w:rsidR="004E442F" w:rsidRDefault="00570386" w:rsidP="00570386">
      <w:pPr>
        <w:ind w:left="1440" w:right="1440"/>
        <w:rPr>
          <w:sz w:val="26"/>
          <w:szCs w:val="26"/>
        </w:rPr>
      </w:pPr>
      <w:r w:rsidRPr="00090B58">
        <w:rPr>
          <w:sz w:val="26"/>
          <w:szCs w:val="26"/>
        </w:rPr>
        <w:t>PJM’s Economic Load Response program enables demand resources to voluntarily respond to PJM locational marginal prices (LMP) by reducing consumption and receiving a payment for the reduction</w:t>
      </w:r>
      <w:r>
        <w:rPr>
          <w:sz w:val="26"/>
          <w:szCs w:val="26"/>
        </w:rPr>
        <w:t>.</w:t>
      </w:r>
      <w:r w:rsidRPr="00090B58">
        <w:rPr>
          <w:sz w:val="26"/>
          <w:szCs w:val="26"/>
        </w:rPr>
        <w:t xml:space="preserve"> </w:t>
      </w:r>
    </w:p>
    <w:p w:rsidR="004E442F" w:rsidRDefault="004E442F" w:rsidP="00570386">
      <w:pPr>
        <w:ind w:left="1440" w:right="1440"/>
        <w:rPr>
          <w:sz w:val="26"/>
          <w:szCs w:val="26"/>
        </w:rPr>
      </w:pPr>
    </w:p>
    <w:p w:rsidR="00A159D3" w:rsidRDefault="004E442F" w:rsidP="00A159D3">
      <w:pPr>
        <w:ind w:left="1440" w:right="1440"/>
        <w:jc w:val="center"/>
        <w:rPr>
          <w:sz w:val="26"/>
          <w:szCs w:val="26"/>
        </w:rPr>
      </w:pPr>
      <w:r>
        <w:rPr>
          <w:sz w:val="26"/>
          <w:szCs w:val="26"/>
        </w:rPr>
        <w:t>*</w:t>
      </w:r>
      <w:r>
        <w:rPr>
          <w:sz w:val="26"/>
          <w:szCs w:val="26"/>
        </w:rPr>
        <w:tab/>
        <w:t>*</w:t>
      </w:r>
      <w:r>
        <w:rPr>
          <w:sz w:val="26"/>
          <w:szCs w:val="26"/>
        </w:rPr>
        <w:tab/>
        <w:t>*</w:t>
      </w:r>
    </w:p>
    <w:p w:rsidR="00542DF2" w:rsidRDefault="00570386" w:rsidP="00A159D3">
      <w:pPr>
        <w:ind w:left="1440" w:right="1440"/>
        <w:rPr>
          <w:sz w:val="26"/>
          <w:szCs w:val="26"/>
        </w:rPr>
      </w:pPr>
      <w:r w:rsidRPr="00090B58">
        <w:rPr>
          <w:sz w:val="26"/>
          <w:szCs w:val="26"/>
        </w:rPr>
        <w:br/>
        <w:t>The economic program provides access to the wholesale market to end-use customers through CSPs to curtail consumption when PJM LMPs reach a level where it makes economic sense.</w:t>
      </w:r>
    </w:p>
    <w:p w:rsidR="00570386" w:rsidRDefault="00570386" w:rsidP="00570386">
      <w:pPr>
        <w:spacing w:line="360" w:lineRule="auto"/>
        <w:ind w:firstLine="1440"/>
        <w:rPr>
          <w:sz w:val="26"/>
          <w:szCs w:val="26"/>
        </w:rPr>
      </w:pPr>
    </w:p>
    <w:p w:rsidR="00570386" w:rsidRDefault="00570386" w:rsidP="00570386">
      <w:pPr>
        <w:spacing w:line="360" w:lineRule="auto"/>
        <w:rPr>
          <w:sz w:val="26"/>
          <w:szCs w:val="26"/>
        </w:rPr>
      </w:pPr>
      <w:r>
        <w:rPr>
          <w:sz w:val="26"/>
          <w:szCs w:val="26"/>
        </w:rPr>
        <w:t xml:space="preserve">To reduce confusion, this </w:t>
      </w:r>
      <w:r w:rsidR="00824687">
        <w:rPr>
          <w:sz w:val="26"/>
          <w:szCs w:val="26"/>
        </w:rPr>
        <w:t xml:space="preserve">section </w:t>
      </w:r>
      <w:r>
        <w:rPr>
          <w:sz w:val="26"/>
          <w:szCs w:val="26"/>
        </w:rPr>
        <w:t>will refrain from using the abbreviation “CSP.”</w:t>
      </w:r>
    </w:p>
    <w:p w:rsidR="00570386" w:rsidRDefault="00570386" w:rsidP="00570386">
      <w:pPr>
        <w:spacing w:line="360" w:lineRule="auto"/>
        <w:ind w:firstLine="1440"/>
        <w:rPr>
          <w:sz w:val="26"/>
          <w:szCs w:val="26"/>
        </w:rPr>
      </w:pPr>
    </w:p>
    <w:p w:rsidR="00570386" w:rsidRDefault="00570386" w:rsidP="00570386">
      <w:pPr>
        <w:spacing w:line="360" w:lineRule="auto"/>
        <w:ind w:firstLine="1440"/>
        <w:rPr>
          <w:sz w:val="26"/>
          <w:szCs w:val="26"/>
        </w:rPr>
      </w:pPr>
      <w:r>
        <w:rPr>
          <w:sz w:val="26"/>
          <w:szCs w:val="26"/>
        </w:rPr>
        <w:t>Considering that Met Ed and Penelec are located in PJM, but Penn Power is not, the Companies</w:t>
      </w:r>
      <w:r w:rsidR="007452B2">
        <w:rPr>
          <w:sz w:val="26"/>
          <w:szCs w:val="26"/>
        </w:rPr>
        <w:t>’</w:t>
      </w:r>
      <w:r>
        <w:rPr>
          <w:sz w:val="26"/>
          <w:szCs w:val="26"/>
        </w:rPr>
        <w:t xml:space="preserve"> Plans are different with regard to conservation service providers and </w:t>
      </w:r>
      <w:r>
        <w:rPr>
          <w:sz w:val="26"/>
          <w:szCs w:val="26"/>
        </w:rPr>
        <w:lastRenderedPageBreak/>
        <w:t xml:space="preserve">curtailment service providers.  This section will begin by addressing those issues that pertain to all FirstEnergy Companies.  The issues that pertain only to Met Ed and Penelec are then discussed.  Finally, this section will discuss the issues that pertain only to Penn Power. </w:t>
      </w:r>
    </w:p>
    <w:p w:rsidR="00F6551C" w:rsidRDefault="00F6551C" w:rsidP="00BA43AD">
      <w:pPr>
        <w:spacing w:line="276" w:lineRule="auto"/>
        <w:rPr>
          <w:rFonts w:eastAsiaTheme="majorEastAsia"/>
          <w:b/>
          <w:bCs/>
          <w:sz w:val="26"/>
          <w:szCs w:val="26"/>
        </w:rPr>
      </w:pPr>
      <w:bookmarkStart w:id="215" w:name="_Toc242516322"/>
      <w:bookmarkStart w:id="216" w:name="_Toc242690857"/>
      <w:bookmarkStart w:id="217" w:name="_Toc242078311"/>
    </w:p>
    <w:p w:rsidR="00570386" w:rsidRPr="00231C05" w:rsidRDefault="00AC3A87" w:rsidP="00570386">
      <w:pPr>
        <w:pStyle w:val="Heading3"/>
        <w:rPr>
          <w:rFonts w:cs="Times New Roman"/>
          <w:szCs w:val="26"/>
        </w:rPr>
      </w:pPr>
      <w:bookmarkStart w:id="218" w:name="_Toc244499378"/>
      <w:r>
        <w:rPr>
          <w:rFonts w:cs="Times New Roman"/>
          <w:szCs w:val="26"/>
        </w:rPr>
        <w:t xml:space="preserve">1. </w:t>
      </w:r>
      <w:r>
        <w:rPr>
          <w:rFonts w:cs="Times New Roman"/>
          <w:szCs w:val="26"/>
        </w:rPr>
        <w:tab/>
        <w:t>Issues P</w:t>
      </w:r>
      <w:r w:rsidR="00570386">
        <w:rPr>
          <w:rFonts w:cs="Times New Roman"/>
          <w:szCs w:val="26"/>
        </w:rPr>
        <w:t>ertain</w:t>
      </w:r>
      <w:r>
        <w:rPr>
          <w:rFonts w:cs="Times New Roman"/>
          <w:szCs w:val="26"/>
        </w:rPr>
        <w:t>ing</w:t>
      </w:r>
      <w:r w:rsidR="00570386" w:rsidRPr="00231C05">
        <w:rPr>
          <w:rFonts w:cs="Times New Roman"/>
          <w:szCs w:val="26"/>
        </w:rPr>
        <w:t xml:space="preserve"> to all </w:t>
      </w:r>
      <w:r w:rsidR="00570386">
        <w:rPr>
          <w:rFonts w:cs="Times New Roman"/>
          <w:szCs w:val="26"/>
        </w:rPr>
        <w:t>FirstEnergy</w:t>
      </w:r>
      <w:r w:rsidR="00570386" w:rsidRPr="00231C05">
        <w:rPr>
          <w:rFonts w:cs="Times New Roman"/>
          <w:szCs w:val="26"/>
        </w:rPr>
        <w:t xml:space="preserve"> Companies</w:t>
      </w:r>
      <w:bookmarkEnd w:id="215"/>
      <w:bookmarkEnd w:id="216"/>
      <w:bookmarkEnd w:id="218"/>
      <w:r w:rsidR="00570386" w:rsidRPr="00231C05">
        <w:rPr>
          <w:rFonts w:cs="Times New Roman"/>
          <w:szCs w:val="26"/>
        </w:rPr>
        <w:t xml:space="preserve"> </w:t>
      </w:r>
    </w:p>
    <w:p w:rsidR="00570386" w:rsidRPr="00231C05" w:rsidRDefault="00570386" w:rsidP="00570386">
      <w:pPr>
        <w:rPr>
          <w:sz w:val="26"/>
          <w:szCs w:val="26"/>
        </w:rPr>
      </w:pPr>
    </w:p>
    <w:p w:rsidR="00570386" w:rsidRPr="00231C05" w:rsidRDefault="00570386" w:rsidP="00570386">
      <w:pPr>
        <w:rPr>
          <w:sz w:val="26"/>
          <w:szCs w:val="26"/>
        </w:rPr>
      </w:pPr>
    </w:p>
    <w:p w:rsidR="00570386" w:rsidRPr="00231C05" w:rsidRDefault="00570386" w:rsidP="00570386">
      <w:pPr>
        <w:pStyle w:val="Heading4"/>
        <w:spacing w:line="240" w:lineRule="auto"/>
        <w:ind w:left="2880" w:hanging="720"/>
        <w:rPr>
          <w:rFonts w:cs="Times New Roman"/>
          <w:szCs w:val="26"/>
        </w:rPr>
      </w:pPr>
      <w:bookmarkStart w:id="219" w:name="_Toc242516323"/>
      <w:bookmarkStart w:id="220" w:name="_Toc242690858"/>
      <w:bookmarkStart w:id="221" w:name="_Toc244499379"/>
      <w:r>
        <w:rPr>
          <w:rFonts w:cs="Times New Roman"/>
          <w:szCs w:val="26"/>
        </w:rPr>
        <w:t>a.</w:t>
      </w:r>
      <w:r>
        <w:rPr>
          <w:rFonts w:cs="Times New Roman"/>
          <w:szCs w:val="26"/>
        </w:rPr>
        <w:tab/>
        <w:t>Contract</w:t>
      </w:r>
      <w:r w:rsidRPr="00231C05">
        <w:rPr>
          <w:rFonts w:cs="Times New Roman"/>
          <w:szCs w:val="26"/>
        </w:rPr>
        <w:t xml:space="preserve"> fo</w:t>
      </w:r>
      <w:r w:rsidR="00AC3A87">
        <w:rPr>
          <w:rFonts w:cs="Times New Roman"/>
          <w:szCs w:val="26"/>
        </w:rPr>
        <w:t>r Services with at Least One Conservation Service P</w:t>
      </w:r>
      <w:r>
        <w:rPr>
          <w:rFonts w:cs="Times New Roman"/>
          <w:szCs w:val="26"/>
        </w:rPr>
        <w:t>rovider</w:t>
      </w:r>
      <w:r w:rsidR="00AC3A87">
        <w:rPr>
          <w:rFonts w:cs="Times New Roman"/>
          <w:szCs w:val="26"/>
        </w:rPr>
        <w:t xml:space="preserve"> Selected T</w:t>
      </w:r>
      <w:r w:rsidRPr="00231C05">
        <w:rPr>
          <w:rFonts w:cs="Times New Roman"/>
          <w:szCs w:val="26"/>
        </w:rPr>
        <w:t>hro</w:t>
      </w:r>
      <w:r w:rsidR="00AC3A87">
        <w:rPr>
          <w:rFonts w:cs="Times New Roman"/>
          <w:szCs w:val="26"/>
        </w:rPr>
        <w:t>ugh an RFP P</w:t>
      </w:r>
      <w:r w:rsidRPr="00231C05">
        <w:rPr>
          <w:rFonts w:cs="Times New Roman"/>
          <w:szCs w:val="26"/>
        </w:rPr>
        <w:t>rocess</w:t>
      </w:r>
      <w:bookmarkEnd w:id="219"/>
      <w:bookmarkEnd w:id="220"/>
      <w:bookmarkEnd w:id="221"/>
    </w:p>
    <w:p w:rsidR="00570386" w:rsidRPr="00231C05" w:rsidRDefault="00570386" w:rsidP="00570386">
      <w:pPr>
        <w:rPr>
          <w:sz w:val="26"/>
          <w:szCs w:val="26"/>
        </w:rPr>
      </w:pPr>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22" w:name="_Toc242516324"/>
      <w:bookmarkStart w:id="223" w:name="_Toc242690859"/>
      <w:bookmarkStart w:id="224" w:name="_Toc244499380"/>
      <w:r w:rsidRPr="00231C05">
        <w:rPr>
          <w:rFonts w:cs="Times New Roman"/>
          <w:szCs w:val="26"/>
        </w:rPr>
        <w:t>(1)</w:t>
      </w:r>
      <w:r w:rsidRPr="00231C05">
        <w:rPr>
          <w:rFonts w:cs="Times New Roman"/>
          <w:szCs w:val="26"/>
        </w:rPr>
        <w:tab/>
        <w:t>Positions of the Parties</w:t>
      </w:r>
      <w:bookmarkEnd w:id="222"/>
      <w:bookmarkEnd w:id="223"/>
      <w:bookmarkEnd w:id="224"/>
    </w:p>
    <w:p w:rsidR="00570386" w:rsidRPr="00231C05" w:rsidRDefault="00570386" w:rsidP="00570386">
      <w:pPr>
        <w:rPr>
          <w:sz w:val="26"/>
          <w:szCs w:val="26"/>
        </w:rPr>
      </w:pPr>
    </w:p>
    <w:p w:rsidR="00570386" w:rsidRPr="00231C05" w:rsidRDefault="00570386" w:rsidP="00570386">
      <w:pPr>
        <w:rPr>
          <w:sz w:val="26"/>
          <w:szCs w:val="26"/>
        </w:rPr>
      </w:pPr>
    </w:p>
    <w:bookmarkEnd w:id="217"/>
    <w:p w:rsidR="00570386" w:rsidRPr="00231C05" w:rsidRDefault="00570386" w:rsidP="00570386">
      <w:pPr>
        <w:spacing w:line="360" w:lineRule="auto"/>
        <w:rPr>
          <w:sz w:val="26"/>
          <w:szCs w:val="26"/>
        </w:rPr>
      </w:pPr>
      <w:r w:rsidRPr="00231C05">
        <w:rPr>
          <w:sz w:val="26"/>
          <w:szCs w:val="26"/>
        </w:rPr>
        <w:tab/>
      </w:r>
      <w:r w:rsidRPr="00231C05">
        <w:rPr>
          <w:sz w:val="26"/>
          <w:szCs w:val="26"/>
        </w:rPr>
        <w:tab/>
        <w:t>By Secretarial Letter dated April 27, 2009, the Commission approved FirstEnergy’s proposed</w:t>
      </w:r>
      <w:r>
        <w:rPr>
          <w:sz w:val="26"/>
          <w:szCs w:val="26"/>
        </w:rPr>
        <w:t xml:space="preserve"> standard form contract with conservation service provider</w:t>
      </w:r>
      <w:r w:rsidRPr="00231C05">
        <w:rPr>
          <w:sz w:val="26"/>
          <w:szCs w:val="26"/>
        </w:rPr>
        <w:t>s.  That letter also requires FirstEnergy to submit for Co</w:t>
      </w:r>
      <w:r>
        <w:rPr>
          <w:sz w:val="26"/>
          <w:szCs w:val="26"/>
        </w:rPr>
        <w:t>mmission approval any future contract with a conservation</w:t>
      </w:r>
      <w:r w:rsidRPr="00231C05">
        <w:rPr>
          <w:sz w:val="26"/>
          <w:szCs w:val="26"/>
        </w:rPr>
        <w:t xml:space="preserve"> </w:t>
      </w:r>
      <w:r>
        <w:rPr>
          <w:sz w:val="26"/>
          <w:szCs w:val="26"/>
        </w:rPr>
        <w:t xml:space="preserve">service provider </w:t>
      </w:r>
      <w:r w:rsidRPr="00231C05">
        <w:rPr>
          <w:sz w:val="26"/>
          <w:szCs w:val="26"/>
        </w:rPr>
        <w:t xml:space="preserve">that </w:t>
      </w:r>
      <w:r>
        <w:rPr>
          <w:sz w:val="26"/>
          <w:szCs w:val="26"/>
        </w:rPr>
        <w:t>is materially different from the approved</w:t>
      </w:r>
      <w:r w:rsidRPr="00231C05">
        <w:rPr>
          <w:sz w:val="26"/>
          <w:szCs w:val="26"/>
        </w:rPr>
        <w:t xml:space="preserve"> standard form contract.</w:t>
      </w:r>
    </w:p>
    <w:p w:rsidR="00570386" w:rsidRPr="00231C05" w:rsidRDefault="00570386" w:rsidP="00570386">
      <w:pPr>
        <w:spacing w:line="360" w:lineRule="auto"/>
        <w:rPr>
          <w:sz w:val="26"/>
          <w:szCs w:val="26"/>
        </w:rPr>
      </w:pPr>
    </w:p>
    <w:p w:rsidR="00570386" w:rsidRPr="00231C05" w:rsidRDefault="00570386" w:rsidP="00570386">
      <w:pPr>
        <w:spacing w:line="360" w:lineRule="auto"/>
        <w:ind w:firstLine="1440"/>
        <w:rPr>
          <w:sz w:val="26"/>
          <w:szCs w:val="26"/>
        </w:rPr>
      </w:pPr>
      <w:r w:rsidRPr="00231C05">
        <w:rPr>
          <w:sz w:val="26"/>
          <w:szCs w:val="26"/>
        </w:rPr>
        <w:t>In Section 4.3.1 of its Plans, FirstEnergy s</w:t>
      </w:r>
      <w:r>
        <w:rPr>
          <w:sz w:val="26"/>
          <w:szCs w:val="26"/>
        </w:rPr>
        <w:t>tates that Black &amp; Veatch (a conservation service provider listed on the Commission’s conservation service provider r</w:t>
      </w:r>
      <w:r w:rsidRPr="00231C05">
        <w:rPr>
          <w:sz w:val="26"/>
          <w:szCs w:val="26"/>
        </w:rPr>
        <w:t>egistry) was hired as the lead consultant supporting development of the Plans.  Th</w:t>
      </w:r>
      <w:r>
        <w:rPr>
          <w:sz w:val="26"/>
          <w:szCs w:val="26"/>
        </w:rPr>
        <w:t xml:space="preserve">is </w:t>
      </w:r>
      <w:r w:rsidRPr="00231C05">
        <w:rPr>
          <w:sz w:val="26"/>
          <w:szCs w:val="26"/>
        </w:rPr>
        <w:t xml:space="preserve">agreement was the result of a Commission-approved RFP process.  Appendix C of the Plans presents the signed agreement </w:t>
      </w:r>
      <w:r>
        <w:rPr>
          <w:sz w:val="26"/>
          <w:szCs w:val="26"/>
        </w:rPr>
        <w:t xml:space="preserve">between </w:t>
      </w:r>
      <w:r w:rsidRPr="00231C05">
        <w:rPr>
          <w:sz w:val="26"/>
          <w:szCs w:val="26"/>
        </w:rPr>
        <w:t xml:space="preserve">FirstEnergy </w:t>
      </w:r>
      <w:r>
        <w:rPr>
          <w:sz w:val="26"/>
          <w:szCs w:val="26"/>
        </w:rPr>
        <w:t xml:space="preserve">and </w:t>
      </w:r>
      <w:r w:rsidRPr="00231C05">
        <w:rPr>
          <w:sz w:val="26"/>
          <w:szCs w:val="26"/>
        </w:rPr>
        <w:t>Black &amp; Veatch</w:t>
      </w:r>
      <w:r>
        <w:rPr>
          <w:sz w:val="26"/>
          <w:szCs w:val="26"/>
        </w:rPr>
        <w:t>,</w:t>
      </w:r>
      <w:r w:rsidRPr="00231C05">
        <w:rPr>
          <w:sz w:val="26"/>
          <w:szCs w:val="26"/>
        </w:rPr>
        <w:t xml:space="preserve"> as well a</w:t>
      </w:r>
      <w:r>
        <w:rPr>
          <w:sz w:val="26"/>
          <w:szCs w:val="26"/>
        </w:rPr>
        <w:t>s a copy of the standardized conservation service provider</w:t>
      </w:r>
      <w:r w:rsidRPr="00231C05">
        <w:rPr>
          <w:sz w:val="26"/>
          <w:szCs w:val="26"/>
        </w:rPr>
        <w:t xml:space="preserve"> contract approved by the Commission.</w:t>
      </w:r>
    </w:p>
    <w:p w:rsidR="00570386" w:rsidRPr="00231C05" w:rsidRDefault="00570386" w:rsidP="00570386">
      <w:pPr>
        <w:spacing w:line="360" w:lineRule="auto"/>
        <w:rPr>
          <w:sz w:val="26"/>
          <w:szCs w:val="26"/>
        </w:rPr>
      </w:pPr>
    </w:p>
    <w:p w:rsidR="00570386" w:rsidRDefault="00570386" w:rsidP="00570386">
      <w:pPr>
        <w:spacing w:line="360" w:lineRule="auto"/>
        <w:rPr>
          <w:sz w:val="26"/>
          <w:szCs w:val="26"/>
        </w:rPr>
      </w:pPr>
      <w:r w:rsidRPr="00231C05">
        <w:rPr>
          <w:sz w:val="26"/>
          <w:szCs w:val="26"/>
        </w:rPr>
        <w:tab/>
      </w:r>
      <w:r w:rsidRPr="00231C05">
        <w:rPr>
          <w:sz w:val="26"/>
          <w:szCs w:val="26"/>
        </w:rPr>
        <w:tab/>
        <w:t xml:space="preserve">FirstEnergy </w:t>
      </w:r>
      <w:r>
        <w:rPr>
          <w:sz w:val="26"/>
          <w:szCs w:val="26"/>
        </w:rPr>
        <w:t xml:space="preserve">expects to contract with additional conservation service providers.  FirstEnergy </w:t>
      </w:r>
      <w:r w:rsidRPr="00231C05">
        <w:rPr>
          <w:sz w:val="26"/>
          <w:szCs w:val="26"/>
        </w:rPr>
        <w:t>submits that it will c</w:t>
      </w:r>
      <w:r>
        <w:rPr>
          <w:sz w:val="26"/>
          <w:szCs w:val="26"/>
        </w:rPr>
        <w:t>ontract with one or more program manager conservation service provider</w:t>
      </w:r>
      <w:r w:rsidRPr="00231C05">
        <w:rPr>
          <w:sz w:val="26"/>
          <w:szCs w:val="26"/>
        </w:rPr>
        <w:t>s to implement the portfolio of programs.  FirstEnergy</w:t>
      </w:r>
      <w:r>
        <w:rPr>
          <w:sz w:val="26"/>
          <w:szCs w:val="26"/>
        </w:rPr>
        <w:t xml:space="preserve">’s </w:t>
      </w:r>
      <w:r w:rsidR="00EA6F69">
        <w:rPr>
          <w:sz w:val="26"/>
          <w:szCs w:val="26"/>
        </w:rPr>
        <w:lastRenderedPageBreak/>
        <w:t>September </w:t>
      </w:r>
      <w:r>
        <w:rPr>
          <w:sz w:val="26"/>
          <w:szCs w:val="26"/>
        </w:rPr>
        <w:t>21, 2009</w:t>
      </w:r>
      <w:r w:rsidRPr="00231C05">
        <w:rPr>
          <w:sz w:val="26"/>
          <w:szCs w:val="26"/>
        </w:rPr>
        <w:t xml:space="preserve"> Plans at § 4.3.2.  FirstEnergy anticipates that j</w:t>
      </w:r>
      <w:r>
        <w:rPr>
          <w:sz w:val="26"/>
          <w:szCs w:val="26"/>
        </w:rPr>
        <w:t>oint RFPs will be issued for conservation service provider</w:t>
      </w:r>
      <w:r w:rsidRPr="00231C05">
        <w:rPr>
          <w:sz w:val="26"/>
          <w:szCs w:val="26"/>
        </w:rPr>
        <w:t>s to support the implementation of programs, including, but not limited to, commercial and industrial sector program managers.  The Plans provide that actual contracts will be based on proposals submitted in response to FirstEnergy’s solicitations.  FirstEnergy’s Plans at § 4.3.3.  FirstEnergy submits that it will request Commissio</w:t>
      </w:r>
      <w:r w:rsidR="00824687">
        <w:rPr>
          <w:sz w:val="26"/>
          <w:szCs w:val="26"/>
        </w:rPr>
        <w:t>n staff review of any future conservation service provider</w:t>
      </w:r>
      <w:r w:rsidRPr="00231C05">
        <w:rPr>
          <w:sz w:val="26"/>
          <w:szCs w:val="26"/>
        </w:rPr>
        <w:t xml:space="preserve"> contracts that are materially different in form from the standard contract.  FirstEnergy’s Plans at § 4.3.1.  </w:t>
      </w:r>
    </w:p>
    <w:p w:rsidR="00570386" w:rsidRPr="00231C05" w:rsidRDefault="00570386" w:rsidP="00570386">
      <w:pPr>
        <w:spacing w:line="360" w:lineRule="auto"/>
        <w:rPr>
          <w:sz w:val="26"/>
          <w:szCs w:val="26"/>
        </w:rPr>
      </w:pPr>
    </w:p>
    <w:p w:rsidR="00570386" w:rsidRPr="00231C05" w:rsidRDefault="00570386" w:rsidP="00570386">
      <w:pPr>
        <w:pStyle w:val="Heading5"/>
        <w:rPr>
          <w:rFonts w:cs="Times New Roman"/>
          <w:szCs w:val="26"/>
        </w:rPr>
      </w:pPr>
      <w:bookmarkStart w:id="225" w:name="_Toc242516325"/>
      <w:bookmarkStart w:id="226" w:name="_Toc242690860"/>
      <w:bookmarkStart w:id="227" w:name="_Toc244499381"/>
      <w:r w:rsidRPr="00231C05">
        <w:rPr>
          <w:rFonts w:cs="Times New Roman"/>
          <w:szCs w:val="26"/>
        </w:rPr>
        <w:t>(2)</w:t>
      </w:r>
      <w:r w:rsidRPr="00231C05">
        <w:rPr>
          <w:rFonts w:cs="Times New Roman"/>
          <w:szCs w:val="26"/>
        </w:rPr>
        <w:tab/>
        <w:t>Disposition</w:t>
      </w:r>
      <w:bookmarkEnd w:id="225"/>
      <w:bookmarkEnd w:id="226"/>
      <w:bookmarkEnd w:id="227"/>
    </w:p>
    <w:p w:rsidR="00570386" w:rsidRPr="00231C05" w:rsidRDefault="00570386" w:rsidP="0057038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70386" w:rsidRPr="007D7AAC" w:rsidRDefault="00570386" w:rsidP="00570386">
      <w:pPr>
        <w:spacing w:line="360" w:lineRule="auto"/>
        <w:ind w:firstLine="1440"/>
        <w:rPr>
          <w:sz w:val="26"/>
          <w:szCs w:val="26"/>
        </w:rPr>
      </w:pPr>
      <w:r w:rsidRPr="00231C05">
        <w:rPr>
          <w:sz w:val="26"/>
          <w:szCs w:val="26"/>
        </w:rPr>
        <w:t xml:space="preserve">We conclude that FirstEnergy’s Plans comply with 66 Pa. C.S. § 2806.1(b)(1)(i)(E) in that they include </w:t>
      </w:r>
      <w:r>
        <w:rPr>
          <w:sz w:val="26"/>
          <w:szCs w:val="26"/>
        </w:rPr>
        <w:t>at least one contract with a conservation service provider</w:t>
      </w:r>
      <w:r w:rsidRPr="00231C05">
        <w:rPr>
          <w:sz w:val="26"/>
          <w:szCs w:val="26"/>
        </w:rPr>
        <w:t xml:space="preserve"> selected by competitive bid to implement all or part of the Plan</w:t>
      </w:r>
      <w:r w:rsidR="00EA1731">
        <w:rPr>
          <w:sz w:val="26"/>
          <w:szCs w:val="26"/>
        </w:rPr>
        <w:t>s</w:t>
      </w:r>
      <w:r w:rsidRPr="00231C05">
        <w:rPr>
          <w:sz w:val="26"/>
          <w:szCs w:val="26"/>
        </w:rPr>
        <w:t xml:space="preserve"> as approved by the Commission.  The Plan</w:t>
      </w:r>
      <w:r w:rsidR="007452B2">
        <w:rPr>
          <w:sz w:val="26"/>
          <w:szCs w:val="26"/>
        </w:rPr>
        <w:t>s</w:t>
      </w:r>
      <w:r w:rsidRPr="00231C05">
        <w:rPr>
          <w:sz w:val="26"/>
          <w:szCs w:val="26"/>
        </w:rPr>
        <w:t xml:space="preserve"> also</w:t>
      </w:r>
      <w:r w:rsidR="00E619D8">
        <w:rPr>
          <w:sz w:val="26"/>
          <w:szCs w:val="26"/>
        </w:rPr>
        <w:t xml:space="preserve"> are</w:t>
      </w:r>
      <w:r w:rsidRPr="00231C05">
        <w:rPr>
          <w:sz w:val="26"/>
          <w:szCs w:val="26"/>
        </w:rPr>
        <w:t xml:space="preserve"> consistent with the Secretarial Letter approving </w:t>
      </w:r>
      <w:r>
        <w:rPr>
          <w:sz w:val="26"/>
          <w:szCs w:val="26"/>
        </w:rPr>
        <w:t>FirstEnergy</w:t>
      </w:r>
      <w:r w:rsidRPr="00231C05">
        <w:rPr>
          <w:sz w:val="26"/>
          <w:szCs w:val="26"/>
        </w:rPr>
        <w:t xml:space="preserve">’s standard form contract.  </w:t>
      </w:r>
      <w:r>
        <w:rPr>
          <w:sz w:val="26"/>
          <w:szCs w:val="26"/>
        </w:rPr>
        <w:t xml:space="preserve">With regard to future contracts with conservation service providers, the Companies are reminded that the </w:t>
      </w:r>
      <w:r>
        <w:rPr>
          <w:i/>
          <w:sz w:val="26"/>
          <w:szCs w:val="26"/>
        </w:rPr>
        <w:t>Implementation Order,</w:t>
      </w:r>
      <w:r>
        <w:rPr>
          <w:sz w:val="26"/>
          <w:szCs w:val="26"/>
        </w:rPr>
        <w:t xml:space="preserve"> at 24-27, sets forth the Commission’s procedure regarding the competitive bidding and approval of contracts with conservation service providers.</w:t>
      </w:r>
    </w:p>
    <w:p w:rsidR="00570386" w:rsidRPr="00231C05" w:rsidRDefault="00570386" w:rsidP="0057038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70386" w:rsidRPr="00231C05" w:rsidRDefault="00570386" w:rsidP="00570386">
      <w:pPr>
        <w:pStyle w:val="Heading4"/>
        <w:spacing w:line="240" w:lineRule="auto"/>
        <w:ind w:left="2880" w:hanging="720"/>
        <w:rPr>
          <w:rFonts w:cs="Times New Roman"/>
          <w:szCs w:val="26"/>
        </w:rPr>
      </w:pPr>
      <w:bookmarkStart w:id="228" w:name="_Toc242690861"/>
      <w:bookmarkStart w:id="229" w:name="_Toc244499382"/>
      <w:r>
        <w:rPr>
          <w:rFonts w:cs="Times New Roman"/>
          <w:szCs w:val="26"/>
        </w:rPr>
        <w:t>b.</w:t>
      </w:r>
      <w:r>
        <w:rPr>
          <w:rFonts w:cs="Times New Roman"/>
          <w:szCs w:val="26"/>
        </w:rPr>
        <w:tab/>
        <w:t>Length of</w:t>
      </w:r>
      <w:r w:rsidR="00AC3A87">
        <w:rPr>
          <w:rFonts w:cs="Times New Roman"/>
          <w:szCs w:val="26"/>
        </w:rPr>
        <w:t xml:space="preserve"> the Demand Response P</w:t>
      </w:r>
      <w:r w:rsidRPr="00231C05">
        <w:rPr>
          <w:rFonts w:cs="Times New Roman"/>
          <w:szCs w:val="26"/>
        </w:rPr>
        <w:t>rogram</w:t>
      </w:r>
      <w:bookmarkEnd w:id="228"/>
      <w:bookmarkEnd w:id="229"/>
    </w:p>
    <w:p w:rsidR="00570386" w:rsidRPr="00231C05" w:rsidRDefault="00570386" w:rsidP="00570386">
      <w:pPr>
        <w:rPr>
          <w:sz w:val="26"/>
          <w:szCs w:val="26"/>
        </w:rPr>
      </w:pPr>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30" w:name="_Toc242690862"/>
      <w:bookmarkStart w:id="231" w:name="_Toc244499383"/>
      <w:r w:rsidRPr="00231C05">
        <w:rPr>
          <w:rFonts w:cs="Times New Roman"/>
          <w:szCs w:val="26"/>
        </w:rPr>
        <w:t>(1)</w:t>
      </w:r>
      <w:r w:rsidRPr="00231C05">
        <w:rPr>
          <w:rFonts w:cs="Times New Roman"/>
          <w:szCs w:val="26"/>
        </w:rPr>
        <w:tab/>
        <w:t>Positions of the Parties</w:t>
      </w:r>
      <w:bookmarkEnd w:id="230"/>
      <w:bookmarkEnd w:id="231"/>
    </w:p>
    <w:p w:rsidR="00570386" w:rsidRPr="00231C05" w:rsidRDefault="00570386" w:rsidP="0057038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70386" w:rsidRDefault="00570386" w:rsidP="00570386">
      <w:pPr>
        <w:spacing w:line="360" w:lineRule="auto"/>
        <w:ind w:firstLine="1440"/>
        <w:rPr>
          <w:sz w:val="26"/>
          <w:szCs w:val="26"/>
        </w:rPr>
      </w:pPr>
      <w:r w:rsidRPr="00231C05">
        <w:rPr>
          <w:sz w:val="26"/>
          <w:szCs w:val="26"/>
        </w:rPr>
        <w:t xml:space="preserve">Under the proposed demand response program (which pertains to commercial and industrial customers), the Companies will </w:t>
      </w:r>
      <w:r>
        <w:rPr>
          <w:sz w:val="26"/>
          <w:szCs w:val="26"/>
        </w:rPr>
        <w:t xml:space="preserve">make incentive payments </w:t>
      </w:r>
      <w:r w:rsidRPr="00231C05">
        <w:rPr>
          <w:sz w:val="26"/>
          <w:szCs w:val="26"/>
        </w:rPr>
        <w:t xml:space="preserve">for two </w:t>
      </w:r>
      <w:r>
        <w:rPr>
          <w:sz w:val="26"/>
          <w:szCs w:val="26"/>
        </w:rPr>
        <w:t>years</w:t>
      </w:r>
      <w:r w:rsidRPr="00231C05">
        <w:rPr>
          <w:sz w:val="26"/>
          <w:szCs w:val="26"/>
        </w:rPr>
        <w:t xml:space="preserve">.  EnerNOC objects, arguing that </w:t>
      </w:r>
      <w:r>
        <w:rPr>
          <w:sz w:val="26"/>
          <w:szCs w:val="26"/>
        </w:rPr>
        <w:t xml:space="preserve">this time period may not provide </w:t>
      </w:r>
      <w:r w:rsidRPr="00231C05">
        <w:rPr>
          <w:sz w:val="26"/>
          <w:szCs w:val="26"/>
        </w:rPr>
        <w:t xml:space="preserve">sufficient certainty to participate in the proposed program.  </w:t>
      </w:r>
      <w:r>
        <w:rPr>
          <w:sz w:val="26"/>
          <w:szCs w:val="26"/>
        </w:rPr>
        <w:t xml:space="preserve">Consequently, EnerNOC argues that the Plans should be modified to extend the “ramp-up” period of the program and to permit </w:t>
      </w:r>
      <w:r>
        <w:rPr>
          <w:sz w:val="26"/>
          <w:szCs w:val="26"/>
        </w:rPr>
        <w:lastRenderedPageBreak/>
        <w:t>contracts to extend beyond the life of the Plan</w:t>
      </w:r>
      <w:r w:rsidR="00E619D8">
        <w:rPr>
          <w:sz w:val="26"/>
          <w:szCs w:val="26"/>
        </w:rPr>
        <w:t>s</w:t>
      </w:r>
      <w:r>
        <w:rPr>
          <w:sz w:val="26"/>
          <w:szCs w:val="26"/>
        </w:rPr>
        <w:t xml:space="preserve"> (May 31, 2013).  </w:t>
      </w:r>
      <w:r w:rsidRPr="00231C05">
        <w:rPr>
          <w:sz w:val="26"/>
          <w:szCs w:val="26"/>
        </w:rPr>
        <w:t xml:space="preserve">EnerNOC MB at </w:t>
      </w:r>
      <w:r>
        <w:rPr>
          <w:sz w:val="26"/>
          <w:szCs w:val="26"/>
        </w:rPr>
        <w:t xml:space="preserve">7, </w:t>
      </w:r>
      <w:r w:rsidR="00EA6F69">
        <w:rPr>
          <w:sz w:val="26"/>
          <w:szCs w:val="26"/>
        </w:rPr>
        <w:t>13</w:t>
      </w:r>
      <w:r w:rsidR="00EA6F69">
        <w:rPr>
          <w:sz w:val="26"/>
          <w:szCs w:val="26"/>
        </w:rPr>
        <w:noBreakHyphen/>
      </w:r>
      <w:r w:rsidRPr="00231C05">
        <w:rPr>
          <w:sz w:val="26"/>
          <w:szCs w:val="26"/>
        </w:rPr>
        <w:t>14 and 18-19.</w:t>
      </w:r>
      <w:r>
        <w:rPr>
          <w:sz w:val="26"/>
          <w:szCs w:val="26"/>
        </w:rPr>
        <w:t xml:space="preserve"> </w:t>
      </w:r>
    </w:p>
    <w:p w:rsidR="00570386" w:rsidRPr="00231C05" w:rsidRDefault="00570386" w:rsidP="00570386">
      <w:pPr>
        <w:spacing w:line="360" w:lineRule="auto"/>
        <w:ind w:firstLine="1440"/>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 xml:space="preserve">MEIUG </w:t>
      </w:r>
      <w:r w:rsidRPr="00231C05">
        <w:rPr>
          <w:i/>
          <w:sz w:val="26"/>
          <w:szCs w:val="26"/>
        </w:rPr>
        <w:t>et al</w:t>
      </w:r>
      <w:r w:rsidRPr="00231C05">
        <w:rPr>
          <w:sz w:val="26"/>
          <w:szCs w:val="26"/>
        </w:rPr>
        <w:t>. disagrees with EnerNOC’s statement that the General Assembly intended that FirstEnergy’s Plan</w:t>
      </w:r>
      <w:r w:rsidR="00E619D8">
        <w:rPr>
          <w:sz w:val="26"/>
          <w:szCs w:val="26"/>
        </w:rPr>
        <w:t>s</w:t>
      </w:r>
      <w:r w:rsidRPr="00231C05">
        <w:rPr>
          <w:sz w:val="26"/>
          <w:szCs w:val="26"/>
        </w:rPr>
        <w:t xml:space="preserve">, in </w:t>
      </w:r>
      <w:r w:rsidR="00E619D8">
        <w:rPr>
          <w:sz w:val="26"/>
          <w:szCs w:val="26"/>
        </w:rPr>
        <w:t>their</w:t>
      </w:r>
      <w:r w:rsidR="00E619D8" w:rsidRPr="00231C05">
        <w:rPr>
          <w:sz w:val="26"/>
          <w:szCs w:val="26"/>
        </w:rPr>
        <w:t xml:space="preserve"> </w:t>
      </w:r>
      <w:r w:rsidRPr="00231C05">
        <w:rPr>
          <w:sz w:val="26"/>
          <w:szCs w:val="26"/>
        </w:rPr>
        <w:t xml:space="preserve">current state, will be extended.  MEIUG </w:t>
      </w:r>
      <w:r w:rsidRPr="00231C05">
        <w:rPr>
          <w:i/>
          <w:sz w:val="26"/>
          <w:szCs w:val="26"/>
        </w:rPr>
        <w:t>et al</w:t>
      </w:r>
      <w:r w:rsidRPr="00231C05">
        <w:rPr>
          <w:sz w:val="26"/>
          <w:szCs w:val="26"/>
        </w:rPr>
        <w:t xml:space="preserve">. RB at 9.  MEIUG </w:t>
      </w:r>
      <w:r w:rsidRPr="00231C05">
        <w:rPr>
          <w:i/>
          <w:sz w:val="26"/>
          <w:szCs w:val="26"/>
        </w:rPr>
        <w:t>et al</w:t>
      </w:r>
      <w:r w:rsidRPr="00231C05">
        <w:rPr>
          <w:sz w:val="26"/>
          <w:szCs w:val="26"/>
        </w:rPr>
        <w:t>. notes that the General Assembly balanced the interests of EDCs with the interests of ratepayers by setting two distinct peak reduction goals</w:t>
      </w:r>
      <w:r>
        <w:rPr>
          <w:sz w:val="26"/>
          <w:szCs w:val="26"/>
        </w:rPr>
        <w:t xml:space="preserve">.  Citing Section 2806.1(d)(2), MEIUG </w:t>
      </w:r>
      <w:r w:rsidRPr="00BD4F11">
        <w:rPr>
          <w:i/>
          <w:sz w:val="26"/>
          <w:szCs w:val="26"/>
        </w:rPr>
        <w:t>et al.</w:t>
      </w:r>
      <w:r>
        <w:rPr>
          <w:sz w:val="26"/>
          <w:szCs w:val="26"/>
        </w:rPr>
        <w:t xml:space="preserve"> contends that the General Assembly </w:t>
      </w:r>
      <w:r w:rsidRPr="00231C05">
        <w:rPr>
          <w:sz w:val="26"/>
          <w:szCs w:val="26"/>
        </w:rPr>
        <w:t>creat</w:t>
      </w:r>
      <w:r>
        <w:rPr>
          <w:sz w:val="26"/>
          <w:szCs w:val="26"/>
        </w:rPr>
        <w:t>ed</w:t>
      </w:r>
      <w:r w:rsidRPr="00231C05">
        <w:rPr>
          <w:sz w:val="26"/>
          <w:szCs w:val="26"/>
        </w:rPr>
        <w:t xml:space="preserve"> a formal review of demand response program costs and benefits after the first deadline of May 31, 2013</w:t>
      </w:r>
      <w:r>
        <w:rPr>
          <w:sz w:val="26"/>
          <w:szCs w:val="26"/>
        </w:rPr>
        <w:t>,</w:t>
      </w:r>
      <w:r w:rsidRPr="00231C05">
        <w:rPr>
          <w:sz w:val="26"/>
          <w:szCs w:val="26"/>
        </w:rPr>
        <w:t xml:space="preserve"> before the Commission potentially sets a second goal for peak demand reduction to be achieved by May 31, 2017. MEIUG </w:t>
      </w:r>
      <w:r w:rsidRPr="00231C05">
        <w:rPr>
          <w:i/>
          <w:sz w:val="26"/>
          <w:szCs w:val="26"/>
        </w:rPr>
        <w:t>et al</w:t>
      </w:r>
      <w:r w:rsidRPr="00231C05">
        <w:rPr>
          <w:sz w:val="26"/>
          <w:szCs w:val="26"/>
        </w:rPr>
        <w:t xml:space="preserve">. MB at 10. </w:t>
      </w:r>
    </w:p>
    <w:p w:rsidR="00570386" w:rsidRPr="00231C05" w:rsidRDefault="00570386" w:rsidP="00570386">
      <w:pPr>
        <w:spacing w:line="360" w:lineRule="auto"/>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FirstEnergy states that the Companies have a limited budget that is subject to the constraints of Act 129</w:t>
      </w:r>
      <w:r>
        <w:rPr>
          <w:sz w:val="26"/>
          <w:szCs w:val="26"/>
        </w:rPr>
        <w:t xml:space="preserve">.  This budget </w:t>
      </w:r>
      <w:r w:rsidRPr="00231C05">
        <w:rPr>
          <w:sz w:val="26"/>
          <w:szCs w:val="26"/>
        </w:rPr>
        <w:t xml:space="preserve">limits the available funds to be spent only during the period June 1, 2009, through May 31, 2013.  </w:t>
      </w:r>
      <w:r>
        <w:rPr>
          <w:sz w:val="26"/>
          <w:szCs w:val="26"/>
        </w:rPr>
        <w:t>FirstEnergy</w:t>
      </w:r>
      <w:r w:rsidRPr="00231C05">
        <w:rPr>
          <w:sz w:val="26"/>
          <w:szCs w:val="26"/>
        </w:rPr>
        <w:t xml:space="preserve"> contends that, in order to comply with Act 129 and remain within the 2% spending limitation, the summer of 2011 and the summer of 2012 are critical to meet the intent of the Act.  FirstEnergy asserts that it is not reasonable to expend resources to attempt to begin demand response programs prior to the summer of 2011 since demand response during the summer </w:t>
      </w:r>
      <w:r w:rsidR="00A159D3">
        <w:rPr>
          <w:sz w:val="26"/>
          <w:szCs w:val="26"/>
        </w:rPr>
        <w:t xml:space="preserve">of </w:t>
      </w:r>
      <w:r w:rsidRPr="00231C05">
        <w:rPr>
          <w:sz w:val="26"/>
          <w:szCs w:val="26"/>
        </w:rPr>
        <w:t>2010 would not count toward the Act 129 target.  66 Pa. C.S. § 2806.1(d).  Thus, it would be premature to make the commitment that EnerNOC requests at this time. Fi</w:t>
      </w:r>
      <w:r w:rsidR="00EA6F69">
        <w:rPr>
          <w:sz w:val="26"/>
          <w:szCs w:val="26"/>
        </w:rPr>
        <w:t>rstEnergy St. </w:t>
      </w:r>
      <w:r w:rsidRPr="00231C05">
        <w:rPr>
          <w:sz w:val="26"/>
          <w:szCs w:val="26"/>
        </w:rPr>
        <w:t xml:space="preserve">2-R at 13; FirstEnergy MB at 51-53; FirstEnergy RB at 34. </w:t>
      </w:r>
    </w:p>
    <w:p w:rsidR="00570386" w:rsidRPr="00231C05" w:rsidRDefault="00570386" w:rsidP="0057038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70386" w:rsidRPr="00231C05" w:rsidRDefault="00570386" w:rsidP="00570386">
      <w:pPr>
        <w:pStyle w:val="Heading5"/>
        <w:rPr>
          <w:rFonts w:cs="Times New Roman"/>
          <w:szCs w:val="26"/>
        </w:rPr>
      </w:pPr>
      <w:bookmarkStart w:id="232" w:name="_Toc242690863"/>
      <w:bookmarkStart w:id="233" w:name="_Toc244499384"/>
      <w:r w:rsidRPr="00231C05">
        <w:rPr>
          <w:rFonts w:cs="Times New Roman"/>
          <w:szCs w:val="26"/>
        </w:rPr>
        <w:t>(2)</w:t>
      </w:r>
      <w:r w:rsidRPr="00231C05">
        <w:rPr>
          <w:rFonts w:cs="Times New Roman"/>
          <w:szCs w:val="26"/>
        </w:rPr>
        <w:tab/>
        <w:t>Disposition</w:t>
      </w:r>
      <w:bookmarkEnd w:id="232"/>
      <w:bookmarkEnd w:id="233"/>
    </w:p>
    <w:p w:rsidR="00570386" w:rsidRPr="00231C05" w:rsidRDefault="00570386" w:rsidP="0057038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F6551C" w:rsidRDefault="00570386" w:rsidP="00570386">
      <w:pPr>
        <w:spacing w:line="360" w:lineRule="auto"/>
        <w:rPr>
          <w:sz w:val="26"/>
          <w:szCs w:val="26"/>
        </w:rPr>
      </w:pPr>
      <w:r w:rsidRPr="00231C05">
        <w:rPr>
          <w:sz w:val="26"/>
          <w:szCs w:val="26"/>
        </w:rPr>
        <w:tab/>
      </w:r>
      <w:r w:rsidRPr="00231C05">
        <w:rPr>
          <w:sz w:val="26"/>
          <w:szCs w:val="26"/>
        </w:rPr>
        <w:tab/>
        <w:t xml:space="preserve">Upon review of the record, we conclude that FirstEnergy is correct.  EnerNOC’s proposal </w:t>
      </w:r>
      <w:r>
        <w:rPr>
          <w:sz w:val="26"/>
          <w:szCs w:val="26"/>
        </w:rPr>
        <w:t xml:space="preserve">for contracts that </w:t>
      </w:r>
      <w:r w:rsidRPr="00231C05">
        <w:rPr>
          <w:sz w:val="26"/>
          <w:szCs w:val="26"/>
        </w:rPr>
        <w:t>ex</w:t>
      </w:r>
      <w:r>
        <w:rPr>
          <w:sz w:val="26"/>
          <w:szCs w:val="26"/>
        </w:rPr>
        <w:t>tend beyond May 31, 2013</w:t>
      </w:r>
      <w:r w:rsidR="00E619D8">
        <w:rPr>
          <w:sz w:val="26"/>
          <w:szCs w:val="26"/>
        </w:rPr>
        <w:t>,</w:t>
      </w:r>
      <w:r>
        <w:rPr>
          <w:sz w:val="26"/>
          <w:szCs w:val="26"/>
        </w:rPr>
        <w:t xml:space="preserve"> contravenes the statute </w:t>
      </w:r>
      <w:r w:rsidRPr="00231C05">
        <w:rPr>
          <w:sz w:val="26"/>
          <w:szCs w:val="26"/>
        </w:rPr>
        <w:t>because the Act</w:t>
      </w:r>
      <w:r>
        <w:rPr>
          <w:sz w:val="26"/>
          <w:szCs w:val="26"/>
        </w:rPr>
        <w:t xml:space="preserve"> </w:t>
      </w:r>
      <w:r w:rsidRPr="00231C05">
        <w:rPr>
          <w:sz w:val="26"/>
          <w:szCs w:val="26"/>
        </w:rPr>
        <w:t xml:space="preserve">limits the spending of funds for the Plans to the </w:t>
      </w:r>
      <w:r>
        <w:rPr>
          <w:sz w:val="26"/>
          <w:szCs w:val="26"/>
        </w:rPr>
        <w:t xml:space="preserve">Plan </w:t>
      </w:r>
      <w:r w:rsidRPr="00231C05">
        <w:rPr>
          <w:sz w:val="26"/>
          <w:szCs w:val="26"/>
        </w:rPr>
        <w:t>period</w:t>
      </w:r>
      <w:r>
        <w:rPr>
          <w:sz w:val="26"/>
          <w:szCs w:val="26"/>
        </w:rPr>
        <w:t>, which</w:t>
      </w:r>
      <w:r w:rsidRPr="00231C05">
        <w:rPr>
          <w:sz w:val="26"/>
          <w:szCs w:val="26"/>
        </w:rPr>
        <w:t xml:space="preserve"> end</w:t>
      </w:r>
      <w:r>
        <w:rPr>
          <w:sz w:val="26"/>
          <w:szCs w:val="26"/>
        </w:rPr>
        <w:t>s</w:t>
      </w:r>
      <w:r w:rsidRPr="00231C05">
        <w:rPr>
          <w:sz w:val="26"/>
          <w:szCs w:val="26"/>
        </w:rPr>
        <w:t xml:space="preserve"> May 31, 2013.  </w:t>
      </w:r>
      <w:r w:rsidR="00F6551C" w:rsidRPr="00231C05">
        <w:rPr>
          <w:sz w:val="26"/>
          <w:szCs w:val="26"/>
        </w:rPr>
        <w:t xml:space="preserve">The time period of the commercial and industrial demand </w:t>
      </w:r>
      <w:r w:rsidR="00F6551C" w:rsidRPr="00231C05">
        <w:rPr>
          <w:sz w:val="26"/>
          <w:szCs w:val="26"/>
        </w:rPr>
        <w:lastRenderedPageBreak/>
        <w:t>response program in FirstEnergy’s Plans is consistent</w:t>
      </w:r>
      <w:r w:rsidR="00EA6F69">
        <w:rPr>
          <w:sz w:val="26"/>
          <w:szCs w:val="26"/>
        </w:rPr>
        <w:t xml:space="preserve"> with the provisions of Section </w:t>
      </w:r>
      <w:r w:rsidR="00F6551C" w:rsidRPr="00231C05">
        <w:rPr>
          <w:sz w:val="26"/>
          <w:szCs w:val="26"/>
        </w:rPr>
        <w:t xml:space="preserve">2806.1(d).  </w:t>
      </w:r>
    </w:p>
    <w:p w:rsidR="00F6551C" w:rsidRDefault="00F6551C" w:rsidP="00570386">
      <w:pPr>
        <w:spacing w:line="360" w:lineRule="auto"/>
        <w:rPr>
          <w:sz w:val="26"/>
          <w:szCs w:val="26"/>
        </w:rPr>
      </w:pPr>
    </w:p>
    <w:p w:rsidR="00570386" w:rsidRPr="00231C05" w:rsidRDefault="00570386" w:rsidP="00F6551C">
      <w:pPr>
        <w:spacing w:line="360" w:lineRule="auto"/>
        <w:ind w:firstLine="1440"/>
        <w:rPr>
          <w:sz w:val="26"/>
          <w:szCs w:val="26"/>
        </w:rPr>
      </w:pPr>
      <w:r>
        <w:rPr>
          <w:sz w:val="26"/>
          <w:szCs w:val="26"/>
        </w:rPr>
        <w:t xml:space="preserve">Moreover, </w:t>
      </w:r>
      <w:r w:rsidRPr="00231C05">
        <w:rPr>
          <w:sz w:val="26"/>
          <w:szCs w:val="26"/>
        </w:rPr>
        <w:t xml:space="preserve">EnerNOC did not cite any record evidence to support the assertions in its briefs.  </w:t>
      </w:r>
      <w:r>
        <w:rPr>
          <w:sz w:val="26"/>
          <w:szCs w:val="26"/>
        </w:rPr>
        <w:t xml:space="preserve">EnerNOC made assertions in its briefs based on its experience, EnerNOC MB at 13, but EnerNOC failed to sponsor any witness to testify to that experience.  </w:t>
      </w:r>
      <w:r w:rsidRPr="00231C05">
        <w:rPr>
          <w:sz w:val="26"/>
          <w:szCs w:val="26"/>
        </w:rPr>
        <w:t>We will not re</w:t>
      </w:r>
      <w:r>
        <w:rPr>
          <w:sz w:val="26"/>
          <w:szCs w:val="26"/>
        </w:rPr>
        <w:t xml:space="preserve">quire FirstEnergy to modify </w:t>
      </w:r>
      <w:r w:rsidRPr="00231C05">
        <w:rPr>
          <w:sz w:val="26"/>
          <w:szCs w:val="26"/>
        </w:rPr>
        <w:t xml:space="preserve">its Plans based on EnerNOC’s unsubstantiated assertions.  Nevertheless, if </w:t>
      </w:r>
      <w:r>
        <w:rPr>
          <w:sz w:val="26"/>
          <w:szCs w:val="26"/>
        </w:rPr>
        <w:t>the Companies’ proposed demand response programs do</w:t>
      </w:r>
      <w:r w:rsidRPr="00231C05">
        <w:rPr>
          <w:sz w:val="26"/>
          <w:szCs w:val="26"/>
        </w:rPr>
        <w:t xml:space="preserve"> </w:t>
      </w:r>
      <w:r>
        <w:rPr>
          <w:sz w:val="26"/>
          <w:szCs w:val="26"/>
        </w:rPr>
        <w:t xml:space="preserve">not </w:t>
      </w:r>
      <w:r w:rsidRPr="00231C05">
        <w:rPr>
          <w:sz w:val="26"/>
          <w:szCs w:val="26"/>
        </w:rPr>
        <w:t>obtain the expected levels of participation, we expect that the tracking and reporting mechanisms in the Plan</w:t>
      </w:r>
      <w:r w:rsidR="00E619D8">
        <w:rPr>
          <w:sz w:val="26"/>
          <w:szCs w:val="26"/>
        </w:rPr>
        <w:t>s</w:t>
      </w:r>
      <w:r w:rsidRPr="00231C05">
        <w:rPr>
          <w:sz w:val="26"/>
          <w:szCs w:val="26"/>
        </w:rPr>
        <w:t xml:space="preserve"> will detect that fact</w:t>
      </w:r>
      <w:r>
        <w:rPr>
          <w:sz w:val="26"/>
          <w:szCs w:val="26"/>
        </w:rPr>
        <w:t>,</w:t>
      </w:r>
      <w:r w:rsidRPr="00231C05">
        <w:rPr>
          <w:sz w:val="26"/>
          <w:szCs w:val="26"/>
        </w:rPr>
        <w:t xml:space="preserve"> and </w:t>
      </w:r>
      <w:r>
        <w:rPr>
          <w:sz w:val="26"/>
          <w:szCs w:val="26"/>
        </w:rPr>
        <w:t xml:space="preserve">the Companies </w:t>
      </w:r>
      <w:r w:rsidRPr="00231C05">
        <w:rPr>
          <w:sz w:val="26"/>
          <w:szCs w:val="26"/>
        </w:rPr>
        <w:t>will timely seek Commission approval of necessary changes in the Plan</w:t>
      </w:r>
      <w:r w:rsidR="00E619D8">
        <w:rPr>
          <w:sz w:val="26"/>
          <w:szCs w:val="26"/>
        </w:rPr>
        <w:t>s</w:t>
      </w:r>
      <w:r w:rsidRPr="00231C05">
        <w:rPr>
          <w:sz w:val="26"/>
          <w:szCs w:val="26"/>
        </w:rPr>
        <w:t xml:space="preserve">, consistent with this </w:t>
      </w:r>
      <w:r w:rsidR="003A5D24">
        <w:rPr>
          <w:sz w:val="26"/>
          <w:szCs w:val="26"/>
        </w:rPr>
        <w:t>Opinion and Order</w:t>
      </w:r>
      <w:r w:rsidRPr="00231C05">
        <w:rPr>
          <w:sz w:val="26"/>
          <w:szCs w:val="26"/>
        </w:rPr>
        <w:t xml:space="preserve">.  </w:t>
      </w:r>
    </w:p>
    <w:p w:rsidR="00570386" w:rsidRDefault="00570386" w:rsidP="00570386">
      <w:pPr>
        <w:spacing w:line="360" w:lineRule="auto"/>
        <w:rPr>
          <w:sz w:val="26"/>
          <w:szCs w:val="26"/>
        </w:rPr>
      </w:pPr>
    </w:p>
    <w:p w:rsidR="00570386" w:rsidRPr="00231C05" w:rsidRDefault="00570386" w:rsidP="00570386">
      <w:pPr>
        <w:spacing w:line="360" w:lineRule="auto"/>
        <w:ind w:firstLine="1440"/>
        <w:rPr>
          <w:sz w:val="26"/>
          <w:szCs w:val="26"/>
        </w:rPr>
      </w:pPr>
      <w:r w:rsidRPr="00231C05">
        <w:rPr>
          <w:sz w:val="26"/>
          <w:szCs w:val="26"/>
        </w:rPr>
        <w:t>We note, however, that FirstEnergy has suggested that th</w:t>
      </w:r>
      <w:r>
        <w:rPr>
          <w:sz w:val="26"/>
          <w:szCs w:val="26"/>
        </w:rPr>
        <w:t>e conservation service provider</w:t>
      </w:r>
      <w:r w:rsidRPr="00231C05">
        <w:rPr>
          <w:sz w:val="26"/>
          <w:szCs w:val="26"/>
        </w:rPr>
        <w:t xml:space="preserve"> issues raised by EnerNOC, ClearChoice, and MEIUG </w:t>
      </w:r>
      <w:r w:rsidRPr="00231C05">
        <w:rPr>
          <w:i/>
          <w:sz w:val="26"/>
          <w:szCs w:val="26"/>
        </w:rPr>
        <w:t>et al.</w:t>
      </w:r>
      <w:r w:rsidRPr="00231C05">
        <w:rPr>
          <w:sz w:val="26"/>
          <w:szCs w:val="26"/>
        </w:rPr>
        <w:t xml:space="preserve"> be vetted during the stakeholder process.  FirstEnergy RB at 40.  We encourage FirstEnergy to do so and to seek Commission approval of any resulting changes in the Plans, consistent with this </w:t>
      </w:r>
      <w:r w:rsidR="003A5D24">
        <w:rPr>
          <w:sz w:val="26"/>
          <w:szCs w:val="26"/>
        </w:rPr>
        <w:t>Opinion and Order</w:t>
      </w:r>
      <w:r w:rsidRPr="00231C05">
        <w:rPr>
          <w:sz w:val="26"/>
          <w:szCs w:val="26"/>
        </w:rPr>
        <w:t>.</w:t>
      </w:r>
    </w:p>
    <w:p w:rsidR="00570386" w:rsidRPr="00231C05" w:rsidRDefault="00570386" w:rsidP="0057038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70386" w:rsidRPr="00231C05" w:rsidRDefault="00570386" w:rsidP="00570386">
      <w:pPr>
        <w:pStyle w:val="Heading3"/>
        <w:rPr>
          <w:rFonts w:cs="Times New Roman"/>
          <w:szCs w:val="26"/>
        </w:rPr>
      </w:pPr>
      <w:bookmarkStart w:id="234" w:name="_Toc242516330"/>
      <w:bookmarkStart w:id="235" w:name="_Toc242690864"/>
      <w:bookmarkStart w:id="236" w:name="_Toc244499385"/>
      <w:r>
        <w:rPr>
          <w:rFonts w:cs="Times New Roman"/>
          <w:szCs w:val="26"/>
        </w:rPr>
        <w:t xml:space="preserve">2. </w:t>
      </w:r>
      <w:r>
        <w:rPr>
          <w:rFonts w:cs="Times New Roman"/>
          <w:szCs w:val="26"/>
        </w:rPr>
        <w:tab/>
        <w:t>I</w:t>
      </w:r>
      <w:r w:rsidR="00FD0201">
        <w:rPr>
          <w:rFonts w:cs="Times New Roman"/>
          <w:szCs w:val="26"/>
        </w:rPr>
        <w:t xml:space="preserve">ssues </w:t>
      </w:r>
      <w:r w:rsidR="00AC3A87">
        <w:rPr>
          <w:rFonts w:cs="Times New Roman"/>
          <w:szCs w:val="26"/>
        </w:rPr>
        <w:t>P</w:t>
      </w:r>
      <w:r>
        <w:rPr>
          <w:rFonts w:cs="Times New Roman"/>
          <w:szCs w:val="26"/>
        </w:rPr>
        <w:t>ertain</w:t>
      </w:r>
      <w:r w:rsidR="00AC3A87">
        <w:rPr>
          <w:rFonts w:cs="Times New Roman"/>
          <w:szCs w:val="26"/>
        </w:rPr>
        <w:t>ing</w:t>
      </w:r>
      <w:r w:rsidRPr="00231C05">
        <w:rPr>
          <w:rFonts w:cs="Times New Roman"/>
          <w:szCs w:val="26"/>
        </w:rPr>
        <w:t xml:space="preserve"> </w:t>
      </w:r>
      <w:r w:rsidR="00FD0201">
        <w:rPr>
          <w:rFonts w:cs="Times New Roman"/>
          <w:szCs w:val="26"/>
        </w:rPr>
        <w:t xml:space="preserve">only </w:t>
      </w:r>
      <w:r w:rsidRPr="00231C05">
        <w:rPr>
          <w:rFonts w:cs="Times New Roman"/>
          <w:szCs w:val="26"/>
        </w:rPr>
        <w:t>to Met Ed and Penelec</w:t>
      </w:r>
      <w:bookmarkEnd w:id="234"/>
      <w:bookmarkEnd w:id="235"/>
      <w:bookmarkEnd w:id="236"/>
      <w:r w:rsidRPr="00231C05">
        <w:rPr>
          <w:rFonts w:cs="Times New Roman"/>
          <w:szCs w:val="26"/>
        </w:rPr>
        <w:t xml:space="preserve"> </w:t>
      </w:r>
    </w:p>
    <w:p w:rsidR="00570386" w:rsidRPr="00231C05" w:rsidRDefault="00570386" w:rsidP="00570386">
      <w:pPr>
        <w:rPr>
          <w:sz w:val="26"/>
          <w:szCs w:val="26"/>
        </w:rPr>
      </w:pPr>
    </w:p>
    <w:p w:rsidR="00570386" w:rsidRPr="00231C05" w:rsidRDefault="00570386" w:rsidP="00570386">
      <w:pPr>
        <w:pStyle w:val="Heading4"/>
        <w:rPr>
          <w:rFonts w:cs="Times New Roman"/>
          <w:szCs w:val="26"/>
        </w:rPr>
      </w:pPr>
      <w:bookmarkStart w:id="237" w:name="_Toc242516331"/>
      <w:bookmarkStart w:id="238" w:name="_Toc242690865"/>
      <w:bookmarkStart w:id="239" w:name="_Toc244499386"/>
      <w:r w:rsidRPr="00231C05">
        <w:rPr>
          <w:rFonts w:cs="Times New Roman"/>
          <w:szCs w:val="26"/>
        </w:rPr>
        <w:t>a.</w:t>
      </w:r>
      <w:r w:rsidRPr="00231C05">
        <w:rPr>
          <w:rFonts w:cs="Times New Roman"/>
          <w:szCs w:val="26"/>
        </w:rPr>
        <w:tab/>
      </w:r>
      <w:bookmarkEnd w:id="237"/>
      <w:r w:rsidRPr="00231C05">
        <w:rPr>
          <w:rFonts w:cs="Times New Roman"/>
          <w:szCs w:val="26"/>
        </w:rPr>
        <w:t xml:space="preserve">Met Ed and Penelec as Curtailment </w:t>
      </w:r>
      <w:bookmarkEnd w:id="238"/>
      <w:r>
        <w:rPr>
          <w:rFonts w:cs="Times New Roman"/>
          <w:szCs w:val="26"/>
        </w:rPr>
        <w:t>Service Providers</w:t>
      </w:r>
      <w:bookmarkEnd w:id="239"/>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40" w:name="_Toc242516332"/>
      <w:bookmarkStart w:id="241" w:name="_Toc242690866"/>
      <w:bookmarkStart w:id="242" w:name="_Toc244499387"/>
      <w:r w:rsidRPr="00231C05">
        <w:rPr>
          <w:rFonts w:cs="Times New Roman"/>
          <w:szCs w:val="26"/>
        </w:rPr>
        <w:t>(1)</w:t>
      </w:r>
      <w:r w:rsidRPr="00231C05">
        <w:rPr>
          <w:rFonts w:cs="Times New Roman"/>
          <w:szCs w:val="26"/>
        </w:rPr>
        <w:tab/>
        <w:t>Positions of the Parties</w:t>
      </w:r>
      <w:bookmarkEnd w:id="240"/>
      <w:bookmarkEnd w:id="241"/>
      <w:bookmarkEnd w:id="242"/>
    </w:p>
    <w:p w:rsidR="00570386" w:rsidRPr="00231C05" w:rsidRDefault="00570386" w:rsidP="00570386">
      <w:pPr>
        <w:spacing w:line="360" w:lineRule="auto"/>
        <w:rPr>
          <w:sz w:val="26"/>
          <w:szCs w:val="26"/>
        </w:rPr>
      </w:pPr>
    </w:p>
    <w:p w:rsidR="00570386" w:rsidRPr="00231C05" w:rsidRDefault="00570386" w:rsidP="00570386">
      <w:pPr>
        <w:spacing w:line="360" w:lineRule="auto"/>
        <w:ind w:firstLine="1440"/>
        <w:rPr>
          <w:sz w:val="26"/>
          <w:szCs w:val="26"/>
        </w:rPr>
      </w:pPr>
      <w:r w:rsidRPr="00231C05">
        <w:rPr>
          <w:sz w:val="26"/>
          <w:szCs w:val="26"/>
        </w:rPr>
        <w:t xml:space="preserve">Met Ed and Penelec propose the selection of </w:t>
      </w:r>
      <w:r>
        <w:rPr>
          <w:sz w:val="26"/>
          <w:szCs w:val="26"/>
        </w:rPr>
        <w:t>curtailment service providers</w:t>
      </w:r>
      <w:r w:rsidRPr="00231C05">
        <w:rPr>
          <w:sz w:val="26"/>
          <w:szCs w:val="26"/>
        </w:rPr>
        <w:t xml:space="preserve"> to secure and manage demand response programs. </w:t>
      </w:r>
      <w:r>
        <w:rPr>
          <w:sz w:val="26"/>
          <w:szCs w:val="26"/>
        </w:rPr>
        <w:t xml:space="preserve"> </w:t>
      </w:r>
      <w:r w:rsidRPr="00231C05">
        <w:rPr>
          <w:sz w:val="26"/>
          <w:szCs w:val="26"/>
        </w:rPr>
        <w:t>First</w:t>
      </w:r>
      <w:r w:rsidR="00EA6F69">
        <w:rPr>
          <w:sz w:val="26"/>
          <w:szCs w:val="26"/>
        </w:rPr>
        <w:t>Energy RB at 3; FirstEnergy St. </w:t>
      </w:r>
      <w:r w:rsidRPr="00231C05">
        <w:rPr>
          <w:sz w:val="26"/>
          <w:szCs w:val="26"/>
        </w:rPr>
        <w:t xml:space="preserve">3-R at 8. Specifically, </w:t>
      </w:r>
      <w:r>
        <w:rPr>
          <w:sz w:val="26"/>
          <w:szCs w:val="26"/>
        </w:rPr>
        <w:t>these curtailment service provider</w:t>
      </w:r>
      <w:r w:rsidRPr="00231C05">
        <w:rPr>
          <w:sz w:val="26"/>
          <w:szCs w:val="26"/>
        </w:rPr>
        <w:t xml:space="preserve">s will register load for commercial, industrial and government sector customers for Met Ed’s and Penelec’s </w:t>
      </w:r>
      <w:r w:rsidRPr="00231C05">
        <w:rPr>
          <w:sz w:val="26"/>
          <w:szCs w:val="26"/>
        </w:rPr>
        <w:lastRenderedPageBreak/>
        <w:t xml:space="preserve">demand response programs.   Met Ed’s September 21, 2009 Plan at 73; Penelec’s September 21, 2009 Plan at 70.  </w:t>
      </w:r>
    </w:p>
    <w:p w:rsidR="00570386" w:rsidRPr="00231C05" w:rsidRDefault="00570386" w:rsidP="00570386">
      <w:pPr>
        <w:spacing w:line="360" w:lineRule="auto"/>
        <w:rPr>
          <w:sz w:val="26"/>
          <w:szCs w:val="26"/>
        </w:rPr>
      </w:pPr>
    </w:p>
    <w:p w:rsidR="00570386" w:rsidRDefault="00570386" w:rsidP="00570386">
      <w:pPr>
        <w:spacing w:line="360" w:lineRule="auto"/>
        <w:rPr>
          <w:sz w:val="26"/>
          <w:szCs w:val="26"/>
        </w:rPr>
      </w:pPr>
      <w:r w:rsidRPr="00231C05">
        <w:rPr>
          <w:sz w:val="26"/>
          <w:szCs w:val="26"/>
        </w:rPr>
        <w:tab/>
      </w:r>
      <w:r w:rsidRPr="00231C05">
        <w:rPr>
          <w:sz w:val="26"/>
          <w:szCs w:val="26"/>
        </w:rPr>
        <w:tab/>
        <w:t>In addition, Met Ed and Penelec propos</w:t>
      </w:r>
      <w:r>
        <w:rPr>
          <w:sz w:val="26"/>
          <w:szCs w:val="26"/>
        </w:rPr>
        <w:t>e to act as curtailment service provider</w:t>
      </w:r>
      <w:r w:rsidRPr="00231C05">
        <w:rPr>
          <w:sz w:val="26"/>
          <w:szCs w:val="26"/>
        </w:rPr>
        <w:t>s themselves.  Met Ed</w:t>
      </w:r>
      <w:r>
        <w:rPr>
          <w:sz w:val="26"/>
          <w:szCs w:val="26"/>
        </w:rPr>
        <w:t>’s September 21, 2009 Plan at 78</w:t>
      </w:r>
      <w:r w:rsidRPr="00231C05">
        <w:rPr>
          <w:sz w:val="26"/>
          <w:szCs w:val="26"/>
        </w:rPr>
        <w:t>; Penelec</w:t>
      </w:r>
      <w:r>
        <w:rPr>
          <w:sz w:val="26"/>
          <w:szCs w:val="26"/>
        </w:rPr>
        <w:t>’s September 21, 2009 Plan at 75</w:t>
      </w:r>
      <w:r w:rsidRPr="00231C05">
        <w:rPr>
          <w:sz w:val="26"/>
          <w:szCs w:val="26"/>
        </w:rPr>
        <w:t xml:space="preserve">. </w:t>
      </w:r>
      <w:r>
        <w:rPr>
          <w:sz w:val="26"/>
          <w:szCs w:val="26"/>
        </w:rPr>
        <w:t xml:space="preserve">FirstEnergy explains as follows:  </w:t>
      </w:r>
    </w:p>
    <w:p w:rsidR="00570386" w:rsidRDefault="00570386" w:rsidP="00570386">
      <w:pPr>
        <w:ind w:left="1440" w:right="1440"/>
        <w:rPr>
          <w:sz w:val="26"/>
          <w:szCs w:val="26"/>
        </w:rPr>
      </w:pPr>
    </w:p>
    <w:p w:rsidR="00570386" w:rsidRDefault="00570386" w:rsidP="00570386">
      <w:pPr>
        <w:ind w:left="1440" w:right="1440"/>
        <w:rPr>
          <w:sz w:val="26"/>
          <w:szCs w:val="26"/>
        </w:rPr>
      </w:pPr>
      <w:r>
        <w:rPr>
          <w:sz w:val="26"/>
          <w:szCs w:val="26"/>
        </w:rPr>
        <w:t xml:space="preserve">Both Met-Ed’s and Penelec’s Plans clearly state that Met-Ed and Penelec, acting as a [curtailment service provider] within the PJM program, will fill the gap between the total MWs needed for compliance with Act 129, </w:t>
      </w:r>
      <w:r w:rsidRPr="00231C05">
        <w:rPr>
          <w:sz w:val="26"/>
          <w:szCs w:val="26"/>
        </w:rPr>
        <w:t xml:space="preserve">less the amount expected from the Voluntary Load Reduction Program, less the amount committed by </w:t>
      </w:r>
      <w:r>
        <w:rPr>
          <w:sz w:val="26"/>
          <w:szCs w:val="26"/>
        </w:rPr>
        <w:t>[curtailment service provider’</w:t>
      </w:r>
      <w:r w:rsidRPr="00231C05">
        <w:rPr>
          <w:sz w:val="26"/>
          <w:szCs w:val="26"/>
        </w:rPr>
        <w:t>s</w:t>
      </w:r>
      <w:r>
        <w:rPr>
          <w:sz w:val="26"/>
          <w:szCs w:val="26"/>
        </w:rPr>
        <w:t>]</w:t>
      </w:r>
      <w:r w:rsidRPr="00231C05">
        <w:rPr>
          <w:sz w:val="26"/>
          <w:szCs w:val="26"/>
        </w:rPr>
        <w:t xml:space="preserve"> </w:t>
      </w:r>
      <w:r>
        <w:rPr>
          <w:sz w:val="26"/>
          <w:szCs w:val="26"/>
        </w:rPr>
        <w:t xml:space="preserve">registration under the ‘Commercial Industrial Demand Response Program-[Curtailment Service Provider] Mandatory’ program </w:t>
      </w:r>
      <w:r w:rsidRPr="00231C05">
        <w:rPr>
          <w:sz w:val="26"/>
          <w:szCs w:val="26"/>
        </w:rPr>
        <w:t xml:space="preserve">the Mandatory Load Reduction Program. </w:t>
      </w:r>
      <w:r>
        <w:rPr>
          <w:sz w:val="26"/>
          <w:szCs w:val="26"/>
        </w:rPr>
        <w:t xml:space="preserve"> Witness Parish testified that Met Ed and Penelec are </w:t>
      </w:r>
      <w:r w:rsidRPr="00231C05">
        <w:rPr>
          <w:sz w:val="26"/>
          <w:szCs w:val="26"/>
        </w:rPr>
        <w:t xml:space="preserve">offered as an alternative to the </w:t>
      </w:r>
      <w:r>
        <w:rPr>
          <w:sz w:val="26"/>
          <w:szCs w:val="26"/>
        </w:rPr>
        <w:t>development of a competitive [curtailment service provider]</w:t>
      </w:r>
      <w:r w:rsidRPr="00231C05">
        <w:rPr>
          <w:sz w:val="26"/>
          <w:szCs w:val="26"/>
        </w:rPr>
        <w:t xml:space="preserve"> demand program, essentially as a contingency plan, to ensure that Met Ed and Penelec are able to secure the level of demand reduction needed in the event that the </w:t>
      </w:r>
      <w:r>
        <w:rPr>
          <w:sz w:val="26"/>
          <w:szCs w:val="26"/>
        </w:rPr>
        <w:t xml:space="preserve">‘Commercial Industrial Demand Response Program-[Curtailment Service Provider] Mandatory’ program </w:t>
      </w:r>
      <w:r w:rsidRPr="00231C05">
        <w:rPr>
          <w:sz w:val="26"/>
          <w:szCs w:val="26"/>
        </w:rPr>
        <w:t xml:space="preserve">does not result in the MWs needed.    </w:t>
      </w:r>
    </w:p>
    <w:p w:rsidR="00570386" w:rsidRDefault="00570386" w:rsidP="00570386">
      <w:pPr>
        <w:ind w:left="1440" w:right="1440"/>
        <w:rPr>
          <w:sz w:val="26"/>
          <w:szCs w:val="26"/>
        </w:rPr>
      </w:pPr>
    </w:p>
    <w:p w:rsidR="00570386" w:rsidRDefault="00570386" w:rsidP="00570386">
      <w:pPr>
        <w:spacing w:line="360" w:lineRule="auto"/>
        <w:rPr>
          <w:sz w:val="26"/>
          <w:szCs w:val="26"/>
        </w:rPr>
      </w:pPr>
      <w:r w:rsidRPr="00231C05">
        <w:rPr>
          <w:sz w:val="26"/>
          <w:szCs w:val="26"/>
        </w:rPr>
        <w:t xml:space="preserve">FirstEnergy </w:t>
      </w:r>
      <w:r>
        <w:rPr>
          <w:sz w:val="26"/>
          <w:szCs w:val="26"/>
        </w:rPr>
        <w:t xml:space="preserve">St. 2-R at 9-10; </w:t>
      </w:r>
      <w:r w:rsidRPr="00231C05">
        <w:rPr>
          <w:sz w:val="26"/>
          <w:szCs w:val="26"/>
        </w:rPr>
        <w:t xml:space="preserve">FirstEnergy </w:t>
      </w:r>
      <w:r>
        <w:rPr>
          <w:sz w:val="26"/>
          <w:szCs w:val="26"/>
        </w:rPr>
        <w:t xml:space="preserve">MB at 49-50 </w:t>
      </w:r>
    </w:p>
    <w:p w:rsidR="00570386" w:rsidRDefault="00570386" w:rsidP="00570386">
      <w:pPr>
        <w:spacing w:line="360" w:lineRule="auto"/>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 xml:space="preserve">EnerNOC </w:t>
      </w:r>
      <w:r>
        <w:rPr>
          <w:sz w:val="26"/>
          <w:szCs w:val="26"/>
        </w:rPr>
        <w:t xml:space="preserve">notes </w:t>
      </w:r>
      <w:r w:rsidRPr="00231C05">
        <w:rPr>
          <w:sz w:val="26"/>
          <w:szCs w:val="26"/>
        </w:rPr>
        <w:t xml:space="preserve">that Act 129 does </w:t>
      </w:r>
      <w:r>
        <w:rPr>
          <w:sz w:val="26"/>
          <w:szCs w:val="26"/>
        </w:rPr>
        <w:t>not allow an EDC to act as a conservation service provider</w:t>
      </w:r>
      <w:r w:rsidRPr="00231C05">
        <w:rPr>
          <w:sz w:val="26"/>
          <w:szCs w:val="26"/>
        </w:rPr>
        <w:t xml:space="preserve">.  EnerNOC MB at 6.  EnerNOC posits that, as the definition of a </w:t>
      </w:r>
      <w:r>
        <w:rPr>
          <w:sz w:val="26"/>
          <w:szCs w:val="26"/>
        </w:rPr>
        <w:t>conservation service provider excludes any entity</w:t>
      </w:r>
      <w:r w:rsidRPr="00231C05">
        <w:rPr>
          <w:sz w:val="26"/>
          <w:szCs w:val="26"/>
        </w:rPr>
        <w:t xml:space="preserve"> that has a “direct or indirect ownership, partnership or other affiliated interest with an electric distribution company,” EDCs ar</w:t>
      </w:r>
      <w:r>
        <w:rPr>
          <w:sz w:val="26"/>
          <w:szCs w:val="26"/>
        </w:rPr>
        <w:t>e precluded from acting as conservation service providers</w:t>
      </w:r>
      <w:r w:rsidRPr="00231C05">
        <w:rPr>
          <w:sz w:val="26"/>
          <w:szCs w:val="26"/>
        </w:rPr>
        <w:t xml:space="preserve">. EnerNOC MB at 6-7.  </w:t>
      </w:r>
    </w:p>
    <w:p w:rsidR="00570386" w:rsidRPr="00231C05" w:rsidRDefault="00570386" w:rsidP="00570386">
      <w:pPr>
        <w:spacing w:line="360" w:lineRule="auto"/>
        <w:rPr>
          <w:sz w:val="26"/>
          <w:szCs w:val="26"/>
        </w:rPr>
      </w:pPr>
    </w:p>
    <w:p w:rsidR="00570386" w:rsidRPr="00231C05" w:rsidRDefault="00570386" w:rsidP="00570386">
      <w:pPr>
        <w:spacing w:line="360" w:lineRule="auto"/>
        <w:ind w:firstLine="1440"/>
        <w:rPr>
          <w:sz w:val="26"/>
          <w:szCs w:val="26"/>
        </w:rPr>
      </w:pPr>
      <w:r w:rsidRPr="00231C05">
        <w:rPr>
          <w:sz w:val="26"/>
          <w:szCs w:val="26"/>
        </w:rPr>
        <w:lastRenderedPageBreak/>
        <w:t xml:space="preserve">ClearChoice also objects to the proposal for </w:t>
      </w:r>
      <w:r>
        <w:rPr>
          <w:sz w:val="26"/>
          <w:szCs w:val="26"/>
        </w:rPr>
        <w:t>Met Ed and Penelec to act as curtailment service provider</w:t>
      </w:r>
      <w:r w:rsidRPr="00231C05">
        <w:rPr>
          <w:sz w:val="26"/>
          <w:szCs w:val="26"/>
        </w:rPr>
        <w:t>s, claiming that the program will have an adverse</w:t>
      </w:r>
      <w:r>
        <w:rPr>
          <w:sz w:val="26"/>
          <w:szCs w:val="26"/>
        </w:rPr>
        <w:t xml:space="preserve"> impact on competition among curtailment service provider</w:t>
      </w:r>
      <w:r w:rsidRPr="00231C05">
        <w:rPr>
          <w:sz w:val="26"/>
          <w:szCs w:val="26"/>
        </w:rPr>
        <w:t>s.  ClearChoice notes that Met Ed and Penelec would pay customers 100% of the payment they receive from the PJM demand response programs, plus an additional fixed payment per kW.  ClearChoice St. 1 at 6.  In contrast, Cl</w:t>
      </w:r>
      <w:r w:rsidR="00824687">
        <w:rPr>
          <w:sz w:val="26"/>
          <w:szCs w:val="26"/>
        </w:rPr>
        <w:t>earChoice and other existing curtailment service provider</w:t>
      </w:r>
      <w:r w:rsidRPr="00231C05">
        <w:rPr>
          <w:sz w:val="26"/>
          <w:szCs w:val="26"/>
        </w:rPr>
        <w:t xml:space="preserve">s typically retain a share of the payment from PJM to cover their overhead, risk of customer non-performance, and return on risk capital.  </w:t>
      </w:r>
      <w:r w:rsidRPr="00231C05">
        <w:rPr>
          <w:i/>
          <w:sz w:val="26"/>
          <w:szCs w:val="26"/>
        </w:rPr>
        <w:t>Id</w:t>
      </w:r>
      <w:r w:rsidRPr="00231C05">
        <w:rPr>
          <w:sz w:val="26"/>
          <w:szCs w:val="26"/>
        </w:rPr>
        <w:t xml:space="preserve">. at 7.  ClearChoice argues that it cannot compete with an EDC offering the same PJM programs, where the EDC pays out in excess of 100% of the proceeds it receives from PJM.  ClearChoice St. 1 at 7.  </w:t>
      </w:r>
    </w:p>
    <w:p w:rsidR="00570386" w:rsidRPr="00231C05" w:rsidRDefault="00570386" w:rsidP="00570386">
      <w:pPr>
        <w:spacing w:line="360" w:lineRule="auto"/>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 xml:space="preserve">FirstEnergy disputes ClearChoice’s position that the Companies’ proposal is anti-competitive.  Nevertheless, </w:t>
      </w:r>
      <w:r>
        <w:rPr>
          <w:sz w:val="26"/>
          <w:szCs w:val="26"/>
        </w:rPr>
        <w:t xml:space="preserve">Met Ed and Penelec revised their </w:t>
      </w:r>
      <w:r w:rsidRPr="00231C05">
        <w:rPr>
          <w:sz w:val="26"/>
          <w:szCs w:val="26"/>
        </w:rPr>
        <w:t xml:space="preserve">Initial Plans to reduce the payments that Met Ed and Penelec, acting as </w:t>
      </w:r>
      <w:r>
        <w:rPr>
          <w:sz w:val="26"/>
          <w:szCs w:val="26"/>
        </w:rPr>
        <w:t xml:space="preserve">curtailment service providers, </w:t>
      </w:r>
      <w:r w:rsidRPr="00231C05">
        <w:rPr>
          <w:sz w:val="26"/>
          <w:szCs w:val="26"/>
        </w:rPr>
        <w:t xml:space="preserve">will make to customers.  Met Ed and Penelec will retain a portion of these proceeds to cover administrative and other costs, and pass the remainder (estimated to be approximately 85% of PJM’s payment) on to customers.  FirstEnergy St. 2-R at 11.  </w:t>
      </w:r>
    </w:p>
    <w:p w:rsidR="00570386" w:rsidRPr="00231C05" w:rsidRDefault="00570386" w:rsidP="00570386">
      <w:pPr>
        <w:spacing w:line="360" w:lineRule="auto"/>
        <w:ind w:firstLine="1440"/>
        <w:rPr>
          <w:sz w:val="26"/>
          <w:szCs w:val="26"/>
        </w:rPr>
      </w:pPr>
    </w:p>
    <w:p w:rsidR="00570386" w:rsidRPr="00231C05" w:rsidRDefault="00570386" w:rsidP="00570386">
      <w:pPr>
        <w:spacing w:line="360" w:lineRule="auto"/>
        <w:ind w:firstLine="1440"/>
        <w:rPr>
          <w:sz w:val="26"/>
          <w:szCs w:val="26"/>
        </w:rPr>
      </w:pPr>
      <w:r w:rsidRPr="00231C05">
        <w:rPr>
          <w:sz w:val="26"/>
          <w:szCs w:val="26"/>
        </w:rPr>
        <w:t xml:space="preserve">ClearChoice commended Met Ed and Penelec for clarifying their demand response programs.  ClearChoice indicated its willingness to work with Met Ed and Penelec so that: (1) their demand response programs are implemented in a way that will allow ClearChoice the opportunity to </w:t>
      </w:r>
      <w:r>
        <w:rPr>
          <w:sz w:val="26"/>
          <w:szCs w:val="26"/>
        </w:rPr>
        <w:t>work with these Companies as a curtailment service provider</w:t>
      </w:r>
      <w:r w:rsidRPr="00231C05">
        <w:rPr>
          <w:sz w:val="26"/>
          <w:szCs w:val="26"/>
        </w:rPr>
        <w:t xml:space="preserve">; and (2) any marketing of these Companies’ </w:t>
      </w:r>
      <w:r>
        <w:rPr>
          <w:sz w:val="26"/>
          <w:szCs w:val="26"/>
        </w:rPr>
        <w:t>curtailment service provider p</w:t>
      </w:r>
      <w:r w:rsidRPr="00231C05">
        <w:rPr>
          <w:sz w:val="26"/>
          <w:szCs w:val="26"/>
        </w:rPr>
        <w:t xml:space="preserve">rogram is competitively neutral.  ClearChoice RB at 6.  </w:t>
      </w:r>
    </w:p>
    <w:p w:rsidR="00570386" w:rsidRPr="00231C05" w:rsidRDefault="00570386" w:rsidP="00570386">
      <w:pPr>
        <w:spacing w:line="360" w:lineRule="auto"/>
        <w:ind w:firstLine="1440"/>
        <w:rPr>
          <w:sz w:val="26"/>
          <w:szCs w:val="26"/>
        </w:rPr>
      </w:pPr>
    </w:p>
    <w:p w:rsidR="00570386" w:rsidRPr="00231C05" w:rsidRDefault="00570386" w:rsidP="00570386">
      <w:pPr>
        <w:pStyle w:val="Heading5"/>
        <w:rPr>
          <w:rFonts w:cs="Times New Roman"/>
          <w:szCs w:val="26"/>
        </w:rPr>
      </w:pPr>
      <w:bookmarkStart w:id="243" w:name="_Toc242516333"/>
      <w:bookmarkStart w:id="244" w:name="_Toc242690867"/>
      <w:bookmarkStart w:id="245" w:name="_Toc244499388"/>
      <w:r w:rsidRPr="00231C05">
        <w:rPr>
          <w:rFonts w:cs="Times New Roman"/>
          <w:szCs w:val="26"/>
        </w:rPr>
        <w:t>(2)</w:t>
      </w:r>
      <w:r w:rsidRPr="00231C05">
        <w:rPr>
          <w:rFonts w:cs="Times New Roman"/>
          <w:szCs w:val="26"/>
        </w:rPr>
        <w:tab/>
        <w:t>Disposition</w:t>
      </w:r>
      <w:bookmarkEnd w:id="243"/>
      <w:bookmarkEnd w:id="244"/>
      <w:bookmarkEnd w:id="245"/>
    </w:p>
    <w:p w:rsidR="00570386" w:rsidRPr="00231C05" w:rsidRDefault="00570386" w:rsidP="00570386">
      <w:pPr>
        <w:spacing w:line="360" w:lineRule="auto"/>
        <w:rPr>
          <w:b/>
          <w:sz w:val="26"/>
          <w:szCs w:val="26"/>
        </w:rPr>
      </w:pPr>
      <w:r w:rsidRPr="00231C05">
        <w:rPr>
          <w:b/>
          <w:sz w:val="26"/>
          <w:szCs w:val="26"/>
        </w:rPr>
        <w:tab/>
      </w:r>
      <w:r w:rsidRPr="00231C05">
        <w:rPr>
          <w:b/>
          <w:sz w:val="26"/>
          <w:szCs w:val="26"/>
        </w:rPr>
        <w:tab/>
      </w:r>
    </w:p>
    <w:p w:rsidR="00570386" w:rsidRDefault="00570386" w:rsidP="00570386">
      <w:pPr>
        <w:spacing w:line="360" w:lineRule="auto"/>
        <w:rPr>
          <w:sz w:val="26"/>
          <w:szCs w:val="26"/>
        </w:rPr>
      </w:pPr>
      <w:r w:rsidRPr="00231C05">
        <w:rPr>
          <w:b/>
          <w:sz w:val="26"/>
          <w:szCs w:val="26"/>
        </w:rPr>
        <w:tab/>
      </w:r>
      <w:r w:rsidRPr="00231C05">
        <w:rPr>
          <w:b/>
          <w:sz w:val="26"/>
          <w:szCs w:val="26"/>
        </w:rPr>
        <w:tab/>
      </w:r>
      <w:r w:rsidRPr="00231C05">
        <w:rPr>
          <w:sz w:val="26"/>
          <w:szCs w:val="26"/>
        </w:rPr>
        <w:t xml:space="preserve">We find the proposal for </w:t>
      </w:r>
      <w:r>
        <w:rPr>
          <w:sz w:val="26"/>
          <w:szCs w:val="26"/>
        </w:rPr>
        <w:t>Met Ed and Penelec to act as curtailment service provider</w:t>
      </w:r>
      <w:r w:rsidRPr="00231C05">
        <w:rPr>
          <w:sz w:val="26"/>
          <w:szCs w:val="26"/>
        </w:rPr>
        <w:t xml:space="preserve">s </w:t>
      </w:r>
      <w:r>
        <w:rPr>
          <w:sz w:val="26"/>
          <w:szCs w:val="26"/>
        </w:rPr>
        <w:t xml:space="preserve">within their demand response programs </w:t>
      </w:r>
      <w:r w:rsidRPr="00231C05">
        <w:rPr>
          <w:sz w:val="26"/>
          <w:szCs w:val="26"/>
        </w:rPr>
        <w:t xml:space="preserve">is reasonable and in compliance with </w:t>
      </w:r>
      <w:r w:rsidR="00BF71BA">
        <w:rPr>
          <w:sz w:val="26"/>
          <w:szCs w:val="26"/>
        </w:rPr>
        <w:lastRenderedPageBreak/>
        <w:t>Act </w:t>
      </w:r>
      <w:r w:rsidRPr="00231C05">
        <w:rPr>
          <w:sz w:val="26"/>
          <w:szCs w:val="26"/>
        </w:rPr>
        <w:t xml:space="preserve">129, and we will approve it.  In our view, it is reasonable for the Companies to stand ready to achieve their demand response goals in the event that </w:t>
      </w:r>
      <w:r>
        <w:rPr>
          <w:sz w:val="26"/>
          <w:szCs w:val="26"/>
        </w:rPr>
        <w:t>third party curtailment service providers</w:t>
      </w:r>
      <w:r w:rsidRPr="00231C05">
        <w:rPr>
          <w:sz w:val="26"/>
          <w:szCs w:val="26"/>
        </w:rPr>
        <w:t xml:space="preserve"> do not contract with Met Ed or Penelec for the required load necessary to be in compliance with Act 129.  We note, in this regard, that Met Ed and Penelec revised their Plans to reduce the payments made to customers.  As a result, we find the proposal is not anti-competitive.  </w:t>
      </w:r>
    </w:p>
    <w:p w:rsidR="00570386" w:rsidRDefault="00570386" w:rsidP="00570386">
      <w:pPr>
        <w:spacing w:line="360" w:lineRule="auto"/>
        <w:rPr>
          <w:sz w:val="26"/>
          <w:szCs w:val="26"/>
        </w:rPr>
      </w:pPr>
    </w:p>
    <w:p w:rsidR="00570386" w:rsidRDefault="00570386" w:rsidP="00570386">
      <w:pPr>
        <w:spacing w:line="360" w:lineRule="auto"/>
        <w:ind w:firstLine="1440"/>
        <w:rPr>
          <w:sz w:val="26"/>
          <w:szCs w:val="26"/>
        </w:rPr>
      </w:pPr>
      <w:r w:rsidRPr="00231C05">
        <w:rPr>
          <w:sz w:val="26"/>
          <w:szCs w:val="26"/>
        </w:rPr>
        <w:t xml:space="preserve">Moreover, </w:t>
      </w:r>
      <w:r>
        <w:rPr>
          <w:sz w:val="26"/>
          <w:szCs w:val="26"/>
        </w:rPr>
        <w:t xml:space="preserve">in the Plans before us, </w:t>
      </w:r>
      <w:r w:rsidRPr="00231C05">
        <w:rPr>
          <w:sz w:val="26"/>
          <w:szCs w:val="26"/>
        </w:rPr>
        <w:t xml:space="preserve">Penelec and Met Ed </w:t>
      </w:r>
      <w:r>
        <w:rPr>
          <w:sz w:val="26"/>
          <w:szCs w:val="26"/>
        </w:rPr>
        <w:t>merely seek to implement a portion of their own demand response programs.  In doing so, they would fulfill the function of a “curtailment service provider.”  We do not believe the statutory definition of a “</w:t>
      </w:r>
      <w:r w:rsidRPr="00231C05">
        <w:rPr>
          <w:sz w:val="26"/>
          <w:szCs w:val="26"/>
        </w:rPr>
        <w:t xml:space="preserve">conservation service provider” </w:t>
      </w:r>
      <w:r>
        <w:rPr>
          <w:sz w:val="26"/>
          <w:szCs w:val="26"/>
        </w:rPr>
        <w:t xml:space="preserve">serves as a bar to this proposal.  </w:t>
      </w:r>
      <w:r w:rsidRPr="00231C05">
        <w:rPr>
          <w:sz w:val="26"/>
          <w:szCs w:val="26"/>
        </w:rPr>
        <w:t>We therefore reject the objections of EnerNOC and ClearChoice.</w:t>
      </w:r>
    </w:p>
    <w:p w:rsidR="002F7E35" w:rsidRDefault="002F7E35" w:rsidP="00570386">
      <w:pPr>
        <w:spacing w:line="360" w:lineRule="auto"/>
        <w:ind w:firstLine="1440"/>
        <w:rPr>
          <w:sz w:val="26"/>
          <w:szCs w:val="26"/>
        </w:rPr>
      </w:pPr>
    </w:p>
    <w:p w:rsidR="002F7E35" w:rsidRDefault="002F7E35" w:rsidP="00570386">
      <w:pPr>
        <w:spacing w:line="360" w:lineRule="auto"/>
        <w:ind w:firstLine="1440"/>
        <w:rPr>
          <w:sz w:val="26"/>
          <w:szCs w:val="26"/>
        </w:rPr>
      </w:pPr>
      <w:r>
        <w:rPr>
          <w:sz w:val="26"/>
          <w:szCs w:val="26"/>
        </w:rPr>
        <w:t xml:space="preserve">We will, however, </w:t>
      </w:r>
      <w:r w:rsidR="00E311D5">
        <w:rPr>
          <w:sz w:val="26"/>
          <w:szCs w:val="26"/>
        </w:rPr>
        <w:t xml:space="preserve">require FirstEnergy to track </w:t>
      </w:r>
      <w:r w:rsidR="005B4FC2">
        <w:rPr>
          <w:sz w:val="26"/>
          <w:szCs w:val="26"/>
        </w:rPr>
        <w:t>the amount it receives in payments from PJM, the amounts it retains for administrative and other costs, the amounts passed on to customers</w:t>
      </w:r>
      <w:r w:rsidR="009A72D1">
        <w:rPr>
          <w:sz w:val="26"/>
          <w:szCs w:val="26"/>
        </w:rPr>
        <w:t>, and the actual administrative, marketing and credit costs associated with this program</w:t>
      </w:r>
      <w:r w:rsidR="005B4FC2">
        <w:rPr>
          <w:sz w:val="26"/>
          <w:szCs w:val="26"/>
        </w:rPr>
        <w:t xml:space="preserve">.  This data shall be included in the Companies’ annual reports so that the Commission may verify the Companies’ estimate that customers would receive approximately 85% of PJM’s payments.  This data will also help the Commission ensure that the Companies are not recovering these costs twice (i.e., from PJM’s payments and from Act 129 funds). </w:t>
      </w:r>
    </w:p>
    <w:p w:rsidR="009A72D1" w:rsidRPr="00231C05" w:rsidRDefault="009A72D1" w:rsidP="00570386">
      <w:pPr>
        <w:spacing w:line="360" w:lineRule="auto"/>
        <w:ind w:firstLine="1440"/>
        <w:rPr>
          <w:sz w:val="26"/>
          <w:szCs w:val="26"/>
        </w:rPr>
      </w:pPr>
    </w:p>
    <w:p w:rsidR="00570386" w:rsidRPr="00231C05" w:rsidRDefault="00570386" w:rsidP="00570386">
      <w:pPr>
        <w:pStyle w:val="Heading4"/>
        <w:spacing w:line="240" w:lineRule="auto"/>
        <w:ind w:left="2880" w:hanging="720"/>
        <w:rPr>
          <w:rFonts w:cs="Times New Roman"/>
          <w:szCs w:val="26"/>
        </w:rPr>
      </w:pPr>
      <w:bookmarkStart w:id="246" w:name="_Toc242690868"/>
      <w:bookmarkStart w:id="247" w:name="_Toc244499389"/>
      <w:r w:rsidRPr="00231C05">
        <w:rPr>
          <w:rFonts w:cs="Times New Roman"/>
          <w:szCs w:val="26"/>
        </w:rPr>
        <w:t>b.</w:t>
      </w:r>
      <w:r w:rsidRPr="00231C05">
        <w:rPr>
          <w:rFonts w:cs="Times New Roman"/>
          <w:szCs w:val="26"/>
        </w:rPr>
        <w:tab/>
        <w:t>Caps on the Amount of Dema</w:t>
      </w:r>
      <w:r>
        <w:rPr>
          <w:rFonts w:cs="Times New Roman"/>
          <w:szCs w:val="26"/>
        </w:rPr>
        <w:t>nd Reduction that can be Provided by a Single Curtailment Service Provider</w:t>
      </w:r>
      <w:bookmarkEnd w:id="246"/>
      <w:bookmarkEnd w:id="247"/>
    </w:p>
    <w:p w:rsidR="00570386" w:rsidRPr="00231C05" w:rsidRDefault="00570386" w:rsidP="00570386">
      <w:pPr>
        <w:rPr>
          <w:sz w:val="26"/>
          <w:szCs w:val="26"/>
        </w:rPr>
      </w:pPr>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48" w:name="_Toc242690869"/>
      <w:bookmarkStart w:id="249" w:name="_Toc244499390"/>
      <w:r w:rsidRPr="00231C05">
        <w:rPr>
          <w:rFonts w:cs="Times New Roman"/>
          <w:szCs w:val="26"/>
        </w:rPr>
        <w:t>(1)</w:t>
      </w:r>
      <w:r w:rsidRPr="00231C05">
        <w:rPr>
          <w:rFonts w:cs="Times New Roman"/>
          <w:szCs w:val="26"/>
        </w:rPr>
        <w:tab/>
        <w:t>Positions of the Parties</w:t>
      </w:r>
      <w:bookmarkEnd w:id="248"/>
      <w:bookmarkEnd w:id="249"/>
    </w:p>
    <w:p w:rsidR="00570386" w:rsidRPr="00231C05" w:rsidRDefault="00570386" w:rsidP="00570386">
      <w:pPr>
        <w:spacing w:line="360" w:lineRule="auto"/>
        <w:rPr>
          <w:b/>
          <w:sz w:val="26"/>
          <w:szCs w:val="26"/>
        </w:rPr>
      </w:pPr>
      <w:r w:rsidRPr="00231C05">
        <w:rPr>
          <w:b/>
          <w:sz w:val="26"/>
          <w:szCs w:val="26"/>
        </w:rPr>
        <w:tab/>
      </w:r>
      <w:r w:rsidRPr="00231C05">
        <w:rPr>
          <w:b/>
          <w:sz w:val="26"/>
          <w:szCs w:val="26"/>
        </w:rPr>
        <w:tab/>
      </w:r>
    </w:p>
    <w:p w:rsidR="00570386" w:rsidRPr="00231C05" w:rsidRDefault="00570386" w:rsidP="00570386">
      <w:pPr>
        <w:spacing w:line="360" w:lineRule="auto"/>
        <w:ind w:firstLine="1440"/>
        <w:rPr>
          <w:sz w:val="26"/>
          <w:szCs w:val="26"/>
        </w:rPr>
      </w:pPr>
      <w:r w:rsidRPr="00231C05">
        <w:rPr>
          <w:sz w:val="26"/>
          <w:szCs w:val="26"/>
        </w:rPr>
        <w:t xml:space="preserve">ClearChoice asserts that no single </w:t>
      </w:r>
      <w:r>
        <w:rPr>
          <w:sz w:val="26"/>
          <w:szCs w:val="26"/>
        </w:rPr>
        <w:t>curtailment service provider</w:t>
      </w:r>
      <w:r w:rsidRPr="00231C05">
        <w:rPr>
          <w:caps/>
          <w:sz w:val="26"/>
          <w:szCs w:val="26"/>
        </w:rPr>
        <w:t xml:space="preserve"> </w:t>
      </w:r>
      <w:r w:rsidRPr="00231C05">
        <w:rPr>
          <w:sz w:val="26"/>
          <w:szCs w:val="26"/>
        </w:rPr>
        <w:t xml:space="preserve">should have more than 50% of the demand reduction required under the Plan of either Met Ed or </w:t>
      </w:r>
      <w:r w:rsidRPr="00231C05">
        <w:rPr>
          <w:sz w:val="26"/>
          <w:szCs w:val="26"/>
        </w:rPr>
        <w:lastRenderedPageBreak/>
        <w:t xml:space="preserve">Penelec.  ClearChoice St. No 1 at 11.  ClearChoice believes that this limitation is analogous to the load caps on default generation service and that it would ensure that multiple providers can participate.  ClearChoice St. No 1 at 11; ClearChoice MB at 17.  </w:t>
      </w:r>
    </w:p>
    <w:p w:rsidR="00570386" w:rsidRPr="00231C05" w:rsidRDefault="00570386" w:rsidP="0057038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Met Ed and Penelec assert that they are obligated to meet the requirements of Act 129.  They are concerned that ClearChoice’s proposal would increase the risk that they would not be able to meet their reduction goals.  In addition, they are concerned that the proposal would increase the cost of the program. Met Ed and Penelec have both indicated that they wil</w:t>
      </w:r>
      <w:r>
        <w:rPr>
          <w:sz w:val="26"/>
          <w:szCs w:val="26"/>
        </w:rPr>
        <w:t>l contract with at least two curtailment service provider</w:t>
      </w:r>
      <w:r w:rsidRPr="00231C05">
        <w:rPr>
          <w:sz w:val="26"/>
          <w:szCs w:val="26"/>
        </w:rPr>
        <w:t xml:space="preserve">s </w:t>
      </w:r>
      <w:r>
        <w:rPr>
          <w:sz w:val="26"/>
          <w:szCs w:val="26"/>
        </w:rPr>
        <w:t xml:space="preserve">in their respective demand response programs </w:t>
      </w:r>
      <w:r w:rsidRPr="00231C05">
        <w:rPr>
          <w:sz w:val="26"/>
          <w:szCs w:val="26"/>
        </w:rPr>
        <w:t>should the registration process result in an oversubscription.  FirstEnergy St. 2-R at 12; FirstEnergy MB at 5</w:t>
      </w:r>
      <w:r>
        <w:rPr>
          <w:sz w:val="26"/>
          <w:szCs w:val="26"/>
        </w:rPr>
        <w:t>0-51</w:t>
      </w:r>
      <w:r w:rsidRPr="00231C05">
        <w:rPr>
          <w:sz w:val="26"/>
          <w:szCs w:val="26"/>
        </w:rPr>
        <w:t xml:space="preserve">.  </w:t>
      </w:r>
    </w:p>
    <w:p w:rsidR="00570386" w:rsidRPr="00231C05" w:rsidRDefault="00570386" w:rsidP="00570386">
      <w:pPr>
        <w:spacing w:line="360" w:lineRule="auto"/>
        <w:ind w:firstLine="1440"/>
        <w:rPr>
          <w:sz w:val="26"/>
          <w:szCs w:val="26"/>
        </w:rPr>
      </w:pPr>
    </w:p>
    <w:p w:rsidR="00570386" w:rsidRPr="00231C05" w:rsidRDefault="00570386" w:rsidP="00570386">
      <w:pPr>
        <w:pStyle w:val="Heading5"/>
        <w:rPr>
          <w:rFonts w:cs="Times New Roman"/>
          <w:szCs w:val="26"/>
        </w:rPr>
      </w:pPr>
      <w:bookmarkStart w:id="250" w:name="_Toc242690870"/>
      <w:bookmarkStart w:id="251" w:name="_Toc244499391"/>
      <w:r w:rsidRPr="00231C05">
        <w:rPr>
          <w:rFonts w:cs="Times New Roman"/>
          <w:szCs w:val="26"/>
        </w:rPr>
        <w:t>(2)</w:t>
      </w:r>
      <w:r w:rsidRPr="00231C05">
        <w:rPr>
          <w:rFonts w:cs="Times New Roman"/>
          <w:szCs w:val="26"/>
        </w:rPr>
        <w:tab/>
        <w:t>Disposition</w:t>
      </w:r>
      <w:bookmarkEnd w:id="250"/>
      <w:bookmarkEnd w:id="251"/>
    </w:p>
    <w:p w:rsidR="00570386" w:rsidRPr="00231C05" w:rsidRDefault="00570386" w:rsidP="00570386">
      <w:pPr>
        <w:spacing w:line="360" w:lineRule="auto"/>
        <w:ind w:firstLine="1440"/>
        <w:rPr>
          <w:sz w:val="26"/>
          <w:szCs w:val="26"/>
        </w:rPr>
      </w:pPr>
    </w:p>
    <w:p w:rsidR="00570386" w:rsidRPr="00231C05" w:rsidRDefault="00570386" w:rsidP="0057038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31C05">
        <w:rPr>
          <w:sz w:val="26"/>
          <w:szCs w:val="26"/>
        </w:rPr>
        <w:tab/>
      </w:r>
      <w:r w:rsidRPr="00231C05">
        <w:rPr>
          <w:sz w:val="26"/>
          <w:szCs w:val="26"/>
        </w:rPr>
        <w:tab/>
      </w:r>
      <w:r w:rsidRPr="00231C05">
        <w:rPr>
          <w:sz w:val="26"/>
          <w:szCs w:val="26"/>
        </w:rPr>
        <w:tab/>
        <w:t>We agree with FirstEnergy that there should be no limit to the amount of load reduction that can be assigned by contract t</w:t>
      </w:r>
      <w:r>
        <w:rPr>
          <w:sz w:val="26"/>
          <w:szCs w:val="26"/>
        </w:rPr>
        <w:t>o any single curtailment service provider</w:t>
      </w:r>
      <w:r w:rsidRPr="00231C05">
        <w:rPr>
          <w:sz w:val="26"/>
          <w:szCs w:val="26"/>
        </w:rPr>
        <w:t xml:space="preserve">.  Act 129 requires an EDC’s EE&amp;C plan to state the manner in which the plan will meet or exceed the required reductions in consumption and peak demand.  66 </w:t>
      </w:r>
      <w:r w:rsidR="00E619D8">
        <w:rPr>
          <w:sz w:val="26"/>
          <w:szCs w:val="26"/>
        </w:rPr>
        <w:t xml:space="preserve">Pa. </w:t>
      </w:r>
      <w:r w:rsidRPr="00231C05">
        <w:rPr>
          <w:sz w:val="26"/>
          <w:szCs w:val="26"/>
        </w:rPr>
        <w:t xml:space="preserve">C.S. </w:t>
      </w:r>
      <w:r>
        <w:rPr>
          <w:sz w:val="26"/>
          <w:szCs w:val="26"/>
        </w:rPr>
        <w:br/>
      </w:r>
      <w:r w:rsidRPr="00231C05">
        <w:rPr>
          <w:sz w:val="26"/>
          <w:szCs w:val="26"/>
        </w:rPr>
        <w:t>§ 2806.1(b)(1)(i)(D).  FirstEnergy believes that the Plans of Met Ed and Penelec will enable those Companies to meet or exceed the targeted peak demand reductions required by Act 129.  FirstEnergy MB at 15.  Limitations on the amount of M</w:t>
      </w:r>
      <w:r>
        <w:rPr>
          <w:sz w:val="26"/>
          <w:szCs w:val="26"/>
        </w:rPr>
        <w:t>Ws under contract to any one curtailment service provider</w:t>
      </w:r>
      <w:r w:rsidRPr="00231C05">
        <w:rPr>
          <w:sz w:val="26"/>
          <w:szCs w:val="26"/>
        </w:rPr>
        <w:t xml:space="preserve"> would result in unnecessary increased risk that the EDC will not meet its targets.  Accordingly, ClearChoice’s proposal to cap the amount of d</w:t>
      </w:r>
      <w:r>
        <w:rPr>
          <w:sz w:val="26"/>
          <w:szCs w:val="26"/>
        </w:rPr>
        <w:t>emand reduction that any one curtailment service provider</w:t>
      </w:r>
      <w:r w:rsidRPr="00231C05">
        <w:rPr>
          <w:sz w:val="26"/>
          <w:szCs w:val="26"/>
        </w:rPr>
        <w:t xml:space="preserve"> can provide is denied.   </w:t>
      </w:r>
    </w:p>
    <w:p w:rsidR="00570386" w:rsidRPr="00231C05" w:rsidRDefault="00570386" w:rsidP="00570386">
      <w:pPr>
        <w:spacing w:line="360" w:lineRule="auto"/>
        <w:ind w:firstLine="1440"/>
        <w:rPr>
          <w:sz w:val="26"/>
          <w:szCs w:val="26"/>
        </w:rPr>
      </w:pPr>
    </w:p>
    <w:p w:rsidR="00DB2822" w:rsidRDefault="00DB2822">
      <w:pPr>
        <w:spacing w:after="200" w:line="276" w:lineRule="auto"/>
        <w:rPr>
          <w:rFonts w:eastAsiaTheme="majorEastAsia"/>
          <w:b/>
          <w:bCs/>
          <w:iCs/>
          <w:sz w:val="26"/>
          <w:szCs w:val="26"/>
        </w:rPr>
      </w:pPr>
      <w:bookmarkStart w:id="252" w:name="_Toc242690871"/>
      <w:r>
        <w:rPr>
          <w:szCs w:val="26"/>
        </w:rPr>
        <w:br w:type="page"/>
      </w:r>
    </w:p>
    <w:p w:rsidR="00570386" w:rsidRPr="00231C05" w:rsidRDefault="00570386" w:rsidP="00570386">
      <w:pPr>
        <w:pStyle w:val="Heading4"/>
        <w:spacing w:line="240" w:lineRule="auto"/>
        <w:ind w:left="2880" w:hanging="720"/>
        <w:rPr>
          <w:rFonts w:cs="Times New Roman"/>
          <w:szCs w:val="26"/>
        </w:rPr>
      </w:pPr>
      <w:bookmarkStart w:id="253" w:name="_Toc244499392"/>
      <w:r w:rsidRPr="00231C05">
        <w:rPr>
          <w:rFonts w:cs="Times New Roman"/>
          <w:szCs w:val="26"/>
        </w:rPr>
        <w:lastRenderedPageBreak/>
        <w:t>c.</w:t>
      </w:r>
      <w:r w:rsidRPr="00231C05">
        <w:rPr>
          <w:rFonts w:cs="Times New Roman"/>
          <w:szCs w:val="26"/>
        </w:rPr>
        <w:tab/>
        <w:t>The “First Come First Served” Approach</w:t>
      </w:r>
      <w:bookmarkEnd w:id="252"/>
      <w:bookmarkEnd w:id="253"/>
    </w:p>
    <w:p w:rsidR="00570386" w:rsidRPr="00231C05" w:rsidRDefault="00570386" w:rsidP="00570386">
      <w:pPr>
        <w:rPr>
          <w:sz w:val="26"/>
          <w:szCs w:val="26"/>
        </w:rPr>
      </w:pPr>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54" w:name="_Toc242690872"/>
      <w:bookmarkStart w:id="255" w:name="_Toc244499393"/>
      <w:r w:rsidRPr="00231C05">
        <w:rPr>
          <w:rFonts w:cs="Times New Roman"/>
          <w:szCs w:val="26"/>
        </w:rPr>
        <w:t>(1)</w:t>
      </w:r>
      <w:r w:rsidRPr="00231C05">
        <w:rPr>
          <w:rFonts w:cs="Times New Roman"/>
          <w:szCs w:val="26"/>
        </w:rPr>
        <w:tab/>
        <w:t>Positions of the Parties</w:t>
      </w:r>
      <w:bookmarkEnd w:id="254"/>
      <w:bookmarkEnd w:id="255"/>
    </w:p>
    <w:p w:rsidR="00570386" w:rsidRPr="00231C05" w:rsidRDefault="00570386" w:rsidP="00570386">
      <w:pPr>
        <w:spacing w:line="360" w:lineRule="auto"/>
        <w:ind w:firstLine="1440"/>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Met Ed and Penelec plan to enter</w:t>
      </w:r>
      <w:r>
        <w:rPr>
          <w:sz w:val="26"/>
          <w:szCs w:val="26"/>
        </w:rPr>
        <w:t xml:space="preserve"> into agreements with curtailment service provider</w:t>
      </w:r>
      <w:r w:rsidRPr="00231C05">
        <w:rPr>
          <w:sz w:val="26"/>
          <w:szCs w:val="26"/>
        </w:rPr>
        <w:t>s on a “first</w:t>
      </w:r>
      <w:r w:rsidR="00E619D8">
        <w:rPr>
          <w:sz w:val="26"/>
          <w:szCs w:val="26"/>
        </w:rPr>
        <w:t xml:space="preserve"> </w:t>
      </w:r>
      <w:r w:rsidRPr="00231C05">
        <w:rPr>
          <w:sz w:val="26"/>
          <w:szCs w:val="26"/>
        </w:rPr>
        <w:t>come first</w:t>
      </w:r>
      <w:r w:rsidR="00E619D8">
        <w:rPr>
          <w:sz w:val="26"/>
          <w:szCs w:val="26"/>
        </w:rPr>
        <w:t xml:space="preserve"> </w:t>
      </w:r>
      <w:r w:rsidRPr="00231C05">
        <w:rPr>
          <w:sz w:val="26"/>
          <w:szCs w:val="26"/>
        </w:rPr>
        <w:t>served” basis.  Specifically, Met Ed and Penele</w:t>
      </w:r>
      <w:r>
        <w:rPr>
          <w:sz w:val="26"/>
          <w:szCs w:val="26"/>
        </w:rPr>
        <w:t>c will issue a notice to all curtailment service provider</w:t>
      </w:r>
      <w:r w:rsidRPr="00231C05">
        <w:rPr>
          <w:sz w:val="26"/>
          <w:szCs w:val="26"/>
        </w:rPr>
        <w:t xml:space="preserve">s requesting the number of MWs </w:t>
      </w:r>
      <w:r w:rsidR="00936368">
        <w:rPr>
          <w:sz w:val="26"/>
          <w:szCs w:val="26"/>
        </w:rPr>
        <w:t>that could be provided in 2011/</w:t>
      </w:r>
      <w:r w:rsidRPr="00231C05">
        <w:rPr>
          <w:sz w:val="26"/>
          <w:szCs w:val="26"/>
        </w:rPr>
        <w:t>2012 and 2012/2013.  Met Ed and Penele</w:t>
      </w:r>
      <w:r>
        <w:rPr>
          <w:sz w:val="26"/>
          <w:szCs w:val="26"/>
        </w:rPr>
        <w:t>c</w:t>
      </w:r>
      <w:r w:rsidRPr="00231C05">
        <w:rPr>
          <w:sz w:val="26"/>
          <w:szCs w:val="26"/>
        </w:rPr>
        <w:t xml:space="preserve"> would then select </w:t>
      </w:r>
      <w:r>
        <w:rPr>
          <w:sz w:val="26"/>
          <w:szCs w:val="26"/>
        </w:rPr>
        <w:t xml:space="preserve">curtailment service providers for their demand response programs </w:t>
      </w:r>
      <w:r w:rsidRPr="00231C05">
        <w:rPr>
          <w:sz w:val="26"/>
          <w:szCs w:val="26"/>
        </w:rPr>
        <w:t>using date stamped responses dated no earlier than three days after the notice was mailed.  To the extent that the registered MWs with the same date stamp exceed the MWs required, Met Ed and Penelec will offer s</w:t>
      </w:r>
      <w:r>
        <w:rPr>
          <w:sz w:val="26"/>
          <w:szCs w:val="26"/>
        </w:rPr>
        <w:t xml:space="preserve">uch curtailment </w:t>
      </w:r>
      <w:r w:rsidRPr="00231C05">
        <w:rPr>
          <w:sz w:val="26"/>
          <w:szCs w:val="26"/>
        </w:rPr>
        <w:t>s</w:t>
      </w:r>
      <w:r>
        <w:rPr>
          <w:sz w:val="26"/>
          <w:szCs w:val="26"/>
        </w:rPr>
        <w:t>ervice providers</w:t>
      </w:r>
      <w:r w:rsidRPr="00231C05">
        <w:rPr>
          <w:sz w:val="26"/>
          <w:szCs w:val="26"/>
        </w:rPr>
        <w:t xml:space="preserve"> a pro-rata share of the MWs so offered and date-stamped on the same day.  FirstEnergy S</w:t>
      </w:r>
      <w:r w:rsidR="00BF71BA">
        <w:rPr>
          <w:sz w:val="26"/>
          <w:szCs w:val="26"/>
        </w:rPr>
        <w:t>t. 2-R at 12; FirstEnergy MB at </w:t>
      </w:r>
      <w:r w:rsidRPr="00231C05">
        <w:rPr>
          <w:sz w:val="26"/>
          <w:szCs w:val="26"/>
        </w:rPr>
        <w:t>51.</w:t>
      </w:r>
    </w:p>
    <w:p w:rsidR="00570386" w:rsidRPr="00231C05" w:rsidRDefault="00570386" w:rsidP="00570386">
      <w:pPr>
        <w:spacing w:line="360" w:lineRule="auto"/>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EnerNOC opposes FirstEnergy’s “first come first served” approach, suggesting that it presents serious challenges that threaten successful implementation of the demand response program.  EnerNOC asserts that the use of a single</w:t>
      </w:r>
      <w:r>
        <w:rPr>
          <w:sz w:val="26"/>
          <w:szCs w:val="26"/>
        </w:rPr>
        <w:t xml:space="preserve"> conservation service provider</w:t>
      </w:r>
      <w:r w:rsidRPr="00231C05">
        <w:rPr>
          <w:sz w:val="26"/>
          <w:szCs w:val="26"/>
        </w:rPr>
        <w:t>, selected through a competitive RFP approach, would reduce the risks of program failure.   EnerNOC MB at 12.  EnerNOC argues that a single approv</w:t>
      </w:r>
      <w:r>
        <w:rPr>
          <w:sz w:val="26"/>
          <w:szCs w:val="26"/>
        </w:rPr>
        <w:t>ed conservation service provider</w:t>
      </w:r>
      <w:r w:rsidRPr="00231C05">
        <w:rPr>
          <w:sz w:val="26"/>
          <w:szCs w:val="26"/>
        </w:rPr>
        <w:t xml:space="preserve"> for the Companies’ programs should be the entity responsible to all large commercial and industrial customers in the service territories, whether these custo</w:t>
      </w:r>
      <w:r>
        <w:rPr>
          <w:sz w:val="26"/>
          <w:szCs w:val="26"/>
        </w:rPr>
        <w:t>mers are acting as their own conservation service provider</w:t>
      </w:r>
      <w:r w:rsidRPr="00231C05">
        <w:rPr>
          <w:sz w:val="26"/>
          <w:szCs w:val="26"/>
        </w:rPr>
        <w:t>s or have existin</w:t>
      </w:r>
      <w:r>
        <w:rPr>
          <w:sz w:val="26"/>
          <w:szCs w:val="26"/>
        </w:rPr>
        <w:t>g relationships with another conservation service provider</w:t>
      </w:r>
      <w:r w:rsidRPr="00231C05">
        <w:rPr>
          <w:sz w:val="26"/>
          <w:szCs w:val="26"/>
        </w:rPr>
        <w:t>.  EnerNOC RB at 4.</w:t>
      </w:r>
    </w:p>
    <w:p w:rsidR="00570386" w:rsidRPr="00231C05" w:rsidRDefault="00570386" w:rsidP="00570386">
      <w:pPr>
        <w:spacing w:line="360" w:lineRule="auto"/>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ClearChoice disagrees with Ener</w:t>
      </w:r>
      <w:r>
        <w:rPr>
          <w:sz w:val="26"/>
          <w:szCs w:val="26"/>
        </w:rPr>
        <w:t>NOC’s position</w:t>
      </w:r>
      <w:r w:rsidRPr="00231C05">
        <w:rPr>
          <w:sz w:val="26"/>
          <w:szCs w:val="26"/>
        </w:rPr>
        <w:t xml:space="preserve">.  ClearChoice RB at 6.  ClearChoice, like MEIUG </w:t>
      </w:r>
      <w:r w:rsidRPr="00231C05">
        <w:rPr>
          <w:i/>
          <w:sz w:val="26"/>
          <w:szCs w:val="26"/>
        </w:rPr>
        <w:t>et al.,</w:t>
      </w:r>
      <w:r w:rsidRPr="00231C05">
        <w:rPr>
          <w:sz w:val="26"/>
          <w:szCs w:val="26"/>
        </w:rPr>
        <w:t xml:space="preserve"> supports Met Ed and Penelec’s demand response programs so long as the opportunities for them to participate in the programs and the PJM program are given on a fair, reasonable and non-discriminatory basis.  ClearChoice RB </w:t>
      </w:r>
      <w:r w:rsidRPr="00231C05">
        <w:rPr>
          <w:sz w:val="26"/>
          <w:szCs w:val="26"/>
        </w:rPr>
        <w:lastRenderedPageBreak/>
        <w:t>at</w:t>
      </w:r>
      <w:r w:rsidR="00BF71BA">
        <w:rPr>
          <w:sz w:val="26"/>
          <w:szCs w:val="26"/>
        </w:rPr>
        <w:t> </w:t>
      </w:r>
      <w:r w:rsidRPr="00231C05">
        <w:rPr>
          <w:sz w:val="26"/>
          <w:szCs w:val="26"/>
        </w:rPr>
        <w:t xml:space="preserve">6; MEIUG </w:t>
      </w:r>
      <w:r w:rsidRPr="00231C05">
        <w:rPr>
          <w:i/>
          <w:sz w:val="26"/>
          <w:szCs w:val="26"/>
        </w:rPr>
        <w:t>et al.</w:t>
      </w:r>
      <w:r w:rsidRPr="00231C05">
        <w:rPr>
          <w:sz w:val="26"/>
          <w:szCs w:val="26"/>
        </w:rPr>
        <w:t xml:space="preserve"> RB at 6.  MEIUG </w:t>
      </w:r>
      <w:r w:rsidRPr="00231C05">
        <w:rPr>
          <w:i/>
          <w:sz w:val="26"/>
          <w:szCs w:val="26"/>
        </w:rPr>
        <w:t>et al.</w:t>
      </w:r>
      <w:r w:rsidRPr="00231C05">
        <w:rPr>
          <w:sz w:val="26"/>
          <w:szCs w:val="26"/>
        </w:rPr>
        <w:t xml:space="preserve"> supports FirstEnergy’s “first come first-served” approach because it will pr</w:t>
      </w:r>
      <w:r>
        <w:rPr>
          <w:sz w:val="26"/>
          <w:szCs w:val="26"/>
        </w:rPr>
        <w:t>ovide an opportunity for all curtailment service provider</w:t>
      </w:r>
      <w:r w:rsidRPr="00231C05">
        <w:rPr>
          <w:sz w:val="26"/>
          <w:szCs w:val="26"/>
        </w:rPr>
        <w:t>s to offer reduction commitments and rece</w:t>
      </w:r>
      <w:r>
        <w:rPr>
          <w:sz w:val="26"/>
          <w:szCs w:val="26"/>
        </w:rPr>
        <w:t>ive incentives through their curtailment service provider</w:t>
      </w:r>
      <w:r w:rsidRPr="00231C05">
        <w:rPr>
          <w:sz w:val="26"/>
          <w:szCs w:val="26"/>
        </w:rPr>
        <w:t xml:space="preserve">s, if applicable, for this performance.  MEIUG </w:t>
      </w:r>
      <w:r w:rsidRPr="00231C05">
        <w:rPr>
          <w:i/>
          <w:sz w:val="26"/>
          <w:szCs w:val="26"/>
        </w:rPr>
        <w:t>et al.</w:t>
      </w:r>
      <w:r w:rsidR="00BF71BA">
        <w:rPr>
          <w:sz w:val="26"/>
          <w:szCs w:val="26"/>
        </w:rPr>
        <w:t xml:space="preserve"> MB at </w:t>
      </w:r>
      <w:r w:rsidRPr="00231C05">
        <w:rPr>
          <w:sz w:val="26"/>
          <w:szCs w:val="26"/>
        </w:rPr>
        <w:t xml:space="preserve">10; RB at 12.  </w:t>
      </w:r>
    </w:p>
    <w:p w:rsidR="00570386" w:rsidRPr="00231C05" w:rsidRDefault="00570386" w:rsidP="00570386">
      <w:pPr>
        <w:spacing w:line="360" w:lineRule="auto"/>
        <w:rPr>
          <w:sz w:val="26"/>
          <w:szCs w:val="26"/>
        </w:rPr>
      </w:pPr>
    </w:p>
    <w:p w:rsidR="00936368" w:rsidRDefault="00570386" w:rsidP="00570386">
      <w:pPr>
        <w:spacing w:line="360" w:lineRule="auto"/>
        <w:rPr>
          <w:sz w:val="26"/>
          <w:szCs w:val="26"/>
        </w:rPr>
      </w:pPr>
      <w:r w:rsidRPr="00231C05">
        <w:rPr>
          <w:sz w:val="26"/>
          <w:szCs w:val="26"/>
        </w:rPr>
        <w:tab/>
      </w:r>
      <w:r w:rsidRPr="00231C05">
        <w:rPr>
          <w:sz w:val="26"/>
          <w:szCs w:val="26"/>
        </w:rPr>
        <w:tab/>
        <w:t>FirstEnergy maintains that its proposed approach is rational, fair, and competitively neutral.  It also asserts that there is no legitimate basis for forcing Met Ed and Penelec to use an RFP proposal instead of the “first</w:t>
      </w:r>
      <w:r w:rsidR="00AD01D4">
        <w:rPr>
          <w:sz w:val="26"/>
          <w:szCs w:val="26"/>
        </w:rPr>
        <w:t xml:space="preserve"> </w:t>
      </w:r>
      <w:r w:rsidRPr="00231C05">
        <w:rPr>
          <w:sz w:val="26"/>
          <w:szCs w:val="26"/>
        </w:rPr>
        <w:t>come first</w:t>
      </w:r>
      <w:r w:rsidR="00AD01D4">
        <w:rPr>
          <w:sz w:val="26"/>
          <w:szCs w:val="26"/>
        </w:rPr>
        <w:t xml:space="preserve"> </w:t>
      </w:r>
      <w:r w:rsidRPr="00231C05">
        <w:rPr>
          <w:sz w:val="26"/>
          <w:szCs w:val="26"/>
        </w:rPr>
        <w:t>served</w:t>
      </w:r>
      <w:r w:rsidR="00AD01D4" w:rsidRPr="00231C05">
        <w:rPr>
          <w:sz w:val="26"/>
          <w:szCs w:val="26"/>
        </w:rPr>
        <w:t>”</w:t>
      </w:r>
      <w:r w:rsidRPr="00231C05">
        <w:rPr>
          <w:sz w:val="26"/>
          <w:szCs w:val="26"/>
        </w:rPr>
        <w:t xml:space="preserve"> approach.  FirstEnergy RB at 35.  FirstEnergy states </w:t>
      </w:r>
      <w:r>
        <w:rPr>
          <w:sz w:val="26"/>
          <w:szCs w:val="26"/>
        </w:rPr>
        <w:t>that all qualifying curtailment service provider</w:t>
      </w:r>
      <w:r w:rsidRPr="00231C05">
        <w:rPr>
          <w:sz w:val="26"/>
          <w:szCs w:val="26"/>
        </w:rPr>
        <w:t>s will have the option to reg</w:t>
      </w:r>
      <w:r>
        <w:rPr>
          <w:sz w:val="26"/>
          <w:szCs w:val="26"/>
        </w:rPr>
        <w:t>ister available MWs and each curtailment service provider</w:t>
      </w:r>
      <w:r w:rsidRPr="00231C05">
        <w:rPr>
          <w:sz w:val="26"/>
          <w:szCs w:val="26"/>
        </w:rPr>
        <w:t xml:space="preserve"> will have the same performance requirements.  FirstEnergy RB at 35.</w:t>
      </w:r>
    </w:p>
    <w:p w:rsidR="00936368" w:rsidRDefault="00936368" w:rsidP="00570386">
      <w:pPr>
        <w:spacing w:line="360" w:lineRule="auto"/>
        <w:rPr>
          <w:sz w:val="26"/>
          <w:szCs w:val="26"/>
        </w:rPr>
      </w:pPr>
    </w:p>
    <w:p w:rsidR="00570386" w:rsidRPr="00231C05" w:rsidRDefault="00570386" w:rsidP="00570386">
      <w:pPr>
        <w:pStyle w:val="Heading5"/>
        <w:rPr>
          <w:rFonts w:cs="Times New Roman"/>
          <w:szCs w:val="26"/>
        </w:rPr>
      </w:pPr>
      <w:bookmarkStart w:id="256" w:name="_Toc242690873"/>
      <w:bookmarkStart w:id="257" w:name="_Toc244499394"/>
      <w:r w:rsidRPr="00231C05">
        <w:rPr>
          <w:rFonts w:cs="Times New Roman"/>
          <w:szCs w:val="26"/>
        </w:rPr>
        <w:t>(2)</w:t>
      </w:r>
      <w:r w:rsidRPr="00231C05">
        <w:rPr>
          <w:rFonts w:cs="Times New Roman"/>
          <w:szCs w:val="26"/>
        </w:rPr>
        <w:tab/>
        <w:t>Disposition</w:t>
      </w:r>
      <w:bookmarkEnd w:id="256"/>
      <w:bookmarkEnd w:id="257"/>
    </w:p>
    <w:p w:rsidR="00570386" w:rsidRPr="00231C05" w:rsidRDefault="00570386" w:rsidP="00570386">
      <w:pPr>
        <w:spacing w:line="360" w:lineRule="auto"/>
        <w:ind w:firstLine="1440"/>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 xml:space="preserve">Upon review and consideration of Met Ed and Penelec’s Plans, we conclude that the “first come first served” approach proposed by </w:t>
      </w:r>
      <w:r>
        <w:rPr>
          <w:sz w:val="26"/>
          <w:szCs w:val="26"/>
        </w:rPr>
        <w:t>FirstEnergy</w:t>
      </w:r>
      <w:r w:rsidRPr="00231C05">
        <w:rPr>
          <w:sz w:val="26"/>
          <w:szCs w:val="26"/>
        </w:rPr>
        <w:t xml:space="preserve"> is reasonable and in compliance </w:t>
      </w:r>
      <w:r>
        <w:rPr>
          <w:sz w:val="26"/>
          <w:szCs w:val="26"/>
        </w:rPr>
        <w:t>with Act 129, so long as all curtailment service provider</w:t>
      </w:r>
      <w:r w:rsidRPr="00231C05">
        <w:rPr>
          <w:sz w:val="26"/>
          <w:szCs w:val="26"/>
        </w:rPr>
        <w:t>s have the opportunity to participate in the FirstEnergy programs and the PJM program on a fair, reasonable and non-discriminatory basis.  W</w:t>
      </w:r>
      <w:r>
        <w:rPr>
          <w:sz w:val="26"/>
          <w:szCs w:val="26"/>
        </w:rPr>
        <w:t>e note that EnerNOC’s single conservation service provider</w:t>
      </w:r>
      <w:r w:rsidRPr="00231C05">
        <w:rPr>
          <w:sz w:val="26"/>
          <w:szCs w:val="26"/>
        </w:rPr>
        <w:t xml:space="preserve"> model is not supported by any record evidence.  Accordingly</w:t>
      </w:r>
      <w:r>
        <w:rPr>
          <w:sz w:val="26"/>
          <w:szCs w:val="26"/>
        </w:rPr>
        <w:t>, we reject EnerNOC’s single conservation service provider</w:t>
      </w:r>
      <w:r w:rsidRPr="00231C05">
        <w:rPr>
          <w:sz w:val="26"/>
          <w:szCs w:val="26"/>
        </w:rPr>
        <w:t xml:space="preserve"> </w:t>
      </w:r>
      <w:r>
        <w:rPr>
          <w:sz w:val="26"/>
          <w:szCs w:val="26"/>
        </w:rPr>
        <w:t>model</w:t>
      </w:r>
      <w:r w:rsidRPr="00231C05">
        <w:rPr>
          <w:sz w:val="26"/>
          <w:szCs w:val="26"/>
        </w:rPr>
        <w:t xml:space="preserve">. </w:t>
      </w:r>
      <w:r>
        <w:rPr>
          <w:sz w:val="26"/>
          <w:szCs w:val="26"/>
        </w:rPr>
        <w:t xml:space="preserve"> W</w:t>
      </w:r>
      <w:r w:rsidRPr="00231C05">
        <w:rPr>
          <w:sz w:val="26"/>
          <w:szCs w:val="26"/>
        </w:rPr>
        <w:t>e expect that continuing participation in the stakeholder process will ensure that an even playing field is maintained for these demand response programs.</w:t>
      </w:r>
    </w:p>
    <w:p w:rsidR="00570386" w:rsidRPr="00231C05" w:rsidRDefault="00570386" w:rsidP="00570386">
      <w:pPr>
        <w:spacing w:line="360" w:lineRule="auto"/>
        <w:ind w:firstLine="1440"/>
        <w:rPr>
          <w:sz w:val="26"/>
          <w:szCs w:val="26"/>
        </w:rPr>
      </w:pPr>
    </w:p>
    <w:p w:rsidR="00DB2822" w:rsidRDefault="00DB2822">
      <w:pPr>
        <w:spacing w:after="200" w:line="276" w:lineRule="auto"/>
        <w:rPr>
          <w:rFonts w:eastAsiaTheme="majorEastAsia"/>
          <w:b/>
          <w:bCs/>
          <w:iCs/>
          <w:sz w:val="26"/>
          <w:szCs w:val="26"/>
        </w:rPr>
      </w:pPr>
      <w:bookmarkStart w:id="258" w:name="_Toc242690874"/>
      <w:r>
        <w:rPr>
          <w:szCs w:val="26"/>
        </w:rPr>
        <w:br w:type="page"/>
      </w:r>
    </w:p>
    <w:p w:rsidR="00570386" w:rsidRPr="00231C05" w:rsidRDefault="00AC3A87" w:rsidP="00570386">
      <w:pPr>
        <w:pStyle w:val="Heading4"/>
        <w:spacing w:line="240" w:lineRule="auto"/>
        <w:ind w:left="2880" w:hanging="720"/>
        <w:rPr>
          <w:rFonts w:cs="Times New Roman"/>
          <w:szCs w:val="26"/>
        </w:rPr>
      </w:pPr>
      <w:bookmarkStart w:id="259" w:name="_Toc244499395"/>
      <w:r>
        <w:rPr>
          <w:rFonts w:cs="Times New Roman"/>
          <w:szCs w:val="26"/>
        </w:rPr>
        <w:lastRenderedPageBreak/>
        <w:t>d.</w:t>
      </w:r>
      <w:r>
        <w:rPr>
          <w:rFonts w:cs="Times New Roman"/>
          <w:szCs w:val="26"/>
        </w:rPr>
        <w:tab/>
        <w:t>Increasing the Incentives in the D</w:t>
      </w:r>
      <w:r w:rsidR="00570386" w:rsidRPr="00231C05">
        <w:rPr>
          <w:rFonts w:cs="Times New Roman"/>
          <w:szCs w:val="26"/>
        </w:rPr>
        <w:t>ema</w:t>
      </w:r>
      <w:r>
        <w:rPr>
          <w:rFonts w:cs="Times New Roman"/>
          <w:szCs w:val="26"/>
        </w:rPr>
        <w:t>nd Response P</w:t>
      </w:r>
      <w:r w:rsidR="00570386">
        <w:rPr>
          <w:rFonts w:cs="Times New Roman"/>
          <w:szCs w:val="26"/>
        </w:rPr>
        <w:t xml:space="preserve">rogram to </w:t>
      </w:r>
      <w:r>
        <w:rPr>
          <w:rFonts w:cs="Times New Roman"/>
          <w:szCs w:val="26"/>
        </w:rPr>
        <w:t>Obtain Expected Participation L</w:t>
      </w:r>
      <w:r w:rsidR="00570386" w:rsidRPr="00231C05">
        <w:rPr>
          <w:rFonts w:cs="Times New Roman"/>
          <w:szCs w:val="26"/>
        </w:rPr>
        <w:t>evels</w:t>
      </w:r>
      <w:bookmarkEnd w:id="258"/>
      <w:bookmarkEnd w:id="259"/>
    </w:p>
    <w:p w:rsidR="00570386" w:rsidRPr="00231C05" w:rsidRDefault="00570386" w:rsidP="00570386">
      <w:pPr>
        <w:rPr>
          <w:sz w:val="26"/>
          <w:szCs w:val="26"/>
        </w:rPr>
      </w:pPr>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60" w:name="_Toc242690875"/>
      <w:bookmarkStart w:id="261" w:name="_Toc244499396"/>
      <w:r w:rsidRPr="00231C05">
        <w:rPr>
          <w:rFonts w:cs="Times New Roman"/>
          <w:szCs w:val="26"/>
        </w:rPr>
        <w:t>(1)</w:t>
      </w:r>
      <w:r w:rsidRPr="00231C05">
        <w:rPr>
          <w:rFonts w:cs="Times New Roman"/>
          <w:szCs w:val="26"/>
        </w:rPr>
        <w:tab/>
        <w:t>Positions of the Parties</w:t>
      </w:r>
      <w:bookmarkEnd w:id="260"/>
      <w:bookmarkEnd w:id="261"/>
    </w:p>
    <w:p w:rsidR="00570386" w:rsidRPr="00231C05" w:rsidRDefault="00570386" w:rsidP="00570386">
      <w:pPr>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 xml:space="preserve">Met Ed and Penelec proposed a quarterly payment of $6.88 per kW, </w:t>
      </w:r>
      <w:r>
        <w:rPr>
          <w:sz w:val="26"/>
          <w:szCs w:val="26"/>
        </w:rPr>
        <w:t>or $27.52 per kW-year in their Initial P</w:t>
      </w:r>
      <w:r w:rsidRPr="00231C05">
        <w:rPr>
          <w:sz w:val="26"/>
          <w:szCs w:val="26"/>
        </w:rPr>
        <w:t>lans.  In the Plans filed September 21, 2009, Met Ed and Penelec state that pricing will be based on fixed payments of $9.50 per contracted kW of peak load reduction per quarter and possible decrements (or performance penalties) for peak load reductions below contracted levels for t</w:t>
      </w:r>
      <w:r w:rsidR="00BF71BA">
        <w:rPr>
          <w:sz w:val="26"/>
          <w:szCs w:val="26"/>
        </w:rPr>
        <w:t>he season.   Met Ed’s September </w:t>
      </w:r>
      <w:r w:rsidRPr="00231C05">
        <w:rPr>
          <w:sz w:val="26"/>
          <w:szCs w:val="26"/>
        </w:rPr>
        <w:t xml:space="preserve">21, 2009 Plan at 75; Penelec’s September 21, 2009 Plan at 71.  </w:t>
      </w:r>
    </w:p>
    <w:p w:rsidR="00570386" w:rsidRPr="00231C05" w:rsidRDefault="00570386" w:rsidP="00570386">
      <w:pPr>
        <w:spacing w:line="360" w:lineRule="auto"/>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 xml:space="preserve">EnerNOC submits that the quarterly incentive payment offered by Met Ed and Penelec for the demand response programs will be substantially lower than necessary to attract customers willing to deliver fifty or more hours of curtailable load, particularly when those customers have an opportunity to participate in the PJM Emergency Demand Response Program.  EnerNOC argues that, in such circumstances, a substantial incentive is needed to achieve participation levels.  EnerNOC suggests that the Commission examine the appropriateness of the incentive level of the curtailment programs, relative to those in PPL and PECO programs.  EnerNOC MB at 14-15.  </w:t>
      </w:r>
      <w:r w:rsidRPr="00231C05">
        <w:rPr>
          <w:sz w:val="26"/>
          <w:szCs w:val="26"/>
        </w:rPr>
        <w:tab/>
      </w:r>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62" w:name="_Toc242690876"/>
      <w:bookmarkStart w:id="263" w:name="_Toc244499397"/>
      <w:r w:rsidRPr="00231C05">
        <w:rPr>
          <w:rFonts w:cs="Times New Roman"/>
          <w:szCs w:val="26"/>
        </w:rPr>
        <w:t>(2)</w:t>
      </w:r>
      <w:r w:rsidRPr="00231C05">
        <w:rPr>
          <w:rFonts w:cs="Times New Roman"/>
          <w:szCs w:val="26"/>
        </w:rPr>
        <w:tab/>
        <w:t>Disposition</w:t>
      </w:r>
      <w:bookmarkEnd w:id="262"/>
      <w:bookmarkEnd w:id="263"/>
    </w:p>
    <w:p w:rsidR="00570386" w:rsidRPr="00231C05" w:rsidRDefault="00570386" w:rsidP="00570386">
      <w:pPr>
        <w:spacing w:line="360" w:lineRule="auto"/>
        <w:ind w:firstLine="1440"/>
        <w:rPr>
          <w:sz w:val="26"/>
          <w:szCs w:val="26"/>
        </w:rPr>
      </w:pPr>
    </w:p>
    <w:p w:rsidR="0007482E" w:rsidRDefault="00570386">
      <w:pPr>
        <w:spacing w:line="360" w:lineRule="auto"/>
        <w:rPr>
          <w:sz w:val="26"/>
          <w:szCs w:val="26"/>
        </w:rPr>
      </w:pPr>
      <w:r w:rsidRPr="00231C05">
        <w:rPr>
          <w:sz w:val="26"/>
          <w:szCs w:val="26"/>
        </w:rPr>
        <w:tab/>
      </w:r>
      <w:r w:rsidRPr="00231C05">
        <w:rPr>
          <w:sz w:val="26"/>
          <w:szCs w:val="26"/>
        </w:rPr>
        <w:tab/>
        <w:t>EnerNOC did not cite any record evidence to support the assertions in its briefs.  We will not require FirstEnergy to modify the incentives in its Plans based on EnerNOC’s unsubstantiated assertions.  Nevertheless, if the incentives in the Plan are not adequate to obtain the expected levels of participation, we expect that the tracking and reporting mechanisms in the Plan</w:t>
      </w:r>
      <w:r w:rsidR="00AD01D4">
        <w:rPr>
          <w:sz w:val="26"/>
          <w:szCs w:val="26"/>
        </w:rPr>
        <w:t>s</w:t>
      </w:r>
      <w:r w:rsidRPr="00231C05">
        <w:rPr>
          <w:sz w:val="26"/>
          <w:szCs w:val="26"/>
        </w:rPr>
        <w:t xml:space="preserve"> will detect that fact and Met Ed and/or Penelec will  timely seek Commission approval of necessary changes in </w:t>
      </w:r>
      <w:r w:rsidR="00AD01D4">
        <w:rPr>
          <w:sz w:val="26"/>
          <w:szCs w:val="26"/>
        </w:rPr>
        <w:t>its</w:t>
      </w:r>
      <w:r w:rsidR="00AD01D4" w:rsidRPr="00231C05">
        <w:rPr>
          <w:sz w:val="26"/>
          <w:szCs w:val="26"/>
        </w:rPr>
        <w:t xml:space="preserve"> </w:t>
      </w:r>
      <w:r w:rsidRPr="00231C05">
        <w:rPr>
          <w:sz w:val="26"/>
          <w:szCs w:val="26"/>
        </w:rPr>
        <w:t xml:space="preserve">Plan, consistent with this </w:t>
      </w:r>
      <w:r w:rsidR="003A5D24">
        <w:rPr>
          <w:sz w:val="26"/>
          <w:szCs w:val="26"/>
        </w:rPr>
        <w:t>Opinion and Order</w:t>
      </w:r>
      <w:r w:rsidRPr="00231C05">
        <w:rPr>
          <w:sz w:val="26"/>
          <w:szCs w:val="26"/>
        </w:rPr>
        <w:t>.</w:t>
      </w:r>
      <w:r w:rsidR="004A57D4">
        <w:rPr>
          <w:sz w:val="26"/>
          <w:szCs w:val="26"/>
        </w:rPr>
        <w:t xml:space="preserve"> </w:t>
      </w:r>
      <w:r w:rsidR="00023ACB">
        <w:rPr>
          <w:sz w:val="26"/>
          <w:szCs w:val="26"/>
        </w:rPr>
        <w:t xml:space="preserve"> </w:t>
      </w:r>
    </w:p>
    <w:p w:rsidR="0007482E" w:rsidRDefault="0007482E">
      <w:pPr>
        <w:spacing w:line="360" w:lineRule="auto"/>
        <w:rPr>
          <w:sz w:val="26"/>
          <w:szCs w:val="26"/>
        </w:rPr>
      </w:pPr>
    </w:p>
    <w:p w:rsidR="00570386" w:rsidRPr="00231C05" w:rsidRDefault="00570386" w:rsidP="00570386">
      <w:pPr>
        <w:pStyle w:val="Heading4"/>
        <w:spacing w:line="240" w:lineRule="auto"/>
        <w:ind w:left="2880" w:hanging="720"/>
        <w:rPr>
          <w:rFonts w:cs="Times New Roman"/>
          <w:szCs w:val="26"/>
        </w:rPr>
      </w:pPr>
      <w:bookmarkStart w:id="264" w:name="_Toc242690877"/>
      <w:bookmarkStart w:id="265" w:name="_Toc244499398"/>
      <w:r w:rsidRPr="00231C05">
        <w:rPr>
          <w:rFonts w:cs="Times New Roman"/>
          <w:szCs w:val="26"/>
        </w:rPr>
        <w:t>e.</w:t>
      </w:r>
      <w:r w:rsidRPr="00231C05">
        <w:rPr>
          <w:rFonts w:cs="Times New Roman"/>
          <w:szCs w:val="26"/>
        </w:rPr>
        <w:tab/>
        <w:t>Marketing</w:t>
      </w:r>
      <w:r w:rsidR="00AC3A87">
        <w:rPr>
          <w:rFonts w:cs="Times New Roman"/>
          <w:szCs w:val="26"/>
        </w:rPr>
        <w:t xml:space="preserve"> the Demand Response P</w:t>
      </w:r>
      <w:r w:rsidRPr="00231C05">
        <w:rPr>
          <w:rFonts w:cs="Times New Roman"/>
          <w:szCs w:val="26"/>
        </w:rPr>
        <w:t>rogram</w:t>
      </w:r>
      <w:bookmarkEnd w:id="264"/>
      <w:bookmarkEnd w:id="265"/>
      <w:r w:rsidRPr="00231C05">
        <w:rPr>
          <w:rFonts w:cs="Times New Roman"/>
          <w:szCs w:val="26"/>
        </w:rPr>
        <w:t xml:space="preserve"> </w:t>
      </w:r>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66" w:name="_Toc242690878"/>
      <w:bookmarkStart w:id="267" w:name="_Toc244499399"/>
      <w:r w:rsidRPr="00231C05">
        <w:rPr>
          <w:rFonts w:cs="Times New Roman"/>
          <w:szCs w:val="26"/>
        </w:rPr>
        <w:t>(1)</w:t>
      </w:r>
      <w:r w:rsidRPr="00231C05">
        <w:rPr>
          <w:rFonts w:cs="Times New Roman"/>
          <w:szCs w:val="26"/>
        </w:rPr>
        <w:tab/>
        <w:t>Positions of the Parties</w:t>
      </w:r>
      <w:bookmarkEnd w:id="266"/>
      <w:bookmarkEnd w:id="267"/>
    </w:p>
    <w:p w:rsidR="00570386" w:rsidRPr="00231C05" w:rsidRDefault="00570386" w:rsidP="00570386">
      <w:pPr>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 xml:space="preserve">ClearChoice states that the marketing of Met Ed’s and Penelec’s demand response programs should be competitively neutral so as </w:t>
      </w:r>
      <w:r>
        <w:rPr>
          <w:sz w:val="26"/>
          <w:szCs w:val="26"/>
        </w:rPr>
        <w:t>not to prefer the use of one curtailment service provider</w:t>
      </w:r>
      <w:r w:rsidRPr="00231C05">
        <w:rPr>
          <w:sz w:val="26"/>
          <w:szCs w:val="26"/>
        </w:rPr>
        <w:t xml:space="preserve"> over another.  ClearChoice asserts that, under Met Ed’s and Penelec’s program design</w:t>
      </w:r>
      <w:r w:rsidR="00AD01D4">
        <w:rPr>
          <w:sz w:val="26"/>
          <w:szCs w:val="26"/>
        </w:rPr>
        <w:t>s</w:t>
      </w:r>
      <w:r w:rsidRPr="00231C05">
        <w:rPr>
          <w:sz w:val="26"/>
          <w:szCs w:val="26"/>
        </w:rPr>
        <w:t>, it is inevitable that ratepayer funding under Act 129 will be used to subsidize marketing of the demand response program for the benefit of Met Ed’s and Penelec’s own programs t</w:t>
      </w:r>
      <w:r>
        <w:rPr>
          <w:sz w:val="26"/>
          <w:szCs w:val="26"/>
        </w:rPr>
        <w:t>o the detriment of all other curtailment service provider</w:t>
      </w:r>
      <w:r w:rsidRPr="00231C05">
        <w:rPr>
          <w:sz w:val="26"/>
          <w:szCs w:val="26"/>
        </w:rPr>
        <w:t>s competing for customers in the FirstEnergy service territory.   ClearChoice recommends that all customer information used by FirstEnergy to market its own program should als</w:t>
      </w:r>
      <w:r>
        <w:rPr>
          <w:sz w:val="26"/>
          <w:szCs w:val="26"/>
        </w:rPr>
        <w:t>o be provided to third party curtailment service provider</w:t>
      </w:r>
      <w:r w:rsidRPr="00231C05">
        <w:rPr>
          <w:sz w:val="26"/>
          <w:szCs w:val="26"/>
        </w:rPr>
        <w:t xml:space="preserve">s offering the PJM program.  ClearChoice MB at 12-13; ClearChoice RB at 6.   </w:t>
      </w:r>
    </w:p>
    <w:p w:rsidR="00570386" w:rsidRPr="00231C05" w:rsidRDefault="00570386" w:rsidP="00570386">
      <w:pPr>
        <w:spacing w:line="360" w:lineRule="auto"/>
        <w:rPr>
          <w:b/>
          <w:sz w:val="26"/>
          <w:szCs w:val="26"/>
        </w:rPr>
      </w:pPr>
    </w:p>
    <w:p w:rsidR="00570386" w:rsidRPr="00231C05" w:rsidRDefault="00570386" w:rsidP="00570386">
      <w:pPr>
        <w:spacing w:line="360" w:lineRule="auto"/>
        <w:rPr>
          <w:b/>
          <w:sz w:val="26"/>
          <w:szCs w:val="26"/>
        </w:rPr>
      </w:pPr>
      <w:r w:rsidRPr="00231C05">
        <w:rPr>
          <w:sz w:val="26"/>
          <w:szCs w:val="26"/>
        </w:rPr>
        <w:tab/>
      </w:r>
      <w:r w:rsidRPr="00231C05">
        <w:rPr>
          <w:sz w:val="26"/>
          <w:szCs w:val="26"/>
        </w:rPr>
        <w:tab/>
        <w:t>MEIUG</w:t>
      </w:r>
      <w:r w:rsidRPr="00231C05">
        <w:rPr>
          <w:i/>
          <w:sz w:val="26"/>
          <w:szCs w:val="26"/>
        </w:rPr>
        <w:t xml:space="preserve"> et al.</w:t>
      </w:r>
      <w:r w:rsidRPr="00231C05">
        <w:rPr>
          <w:sz w:val="26"/>
          <w:szCs w:val="26"/>
        </w:rPr>
        <w:t xml:space="preserve"> supports the demand response program</w:t>
      </w:r>
      <w:r w:rsidR="00AD01D4">
        <w:rPr>
          <w:sz w:val="26"/>
          <w:szCs w:val="26"/>
        </w:rPr>
        <w:t>s</w:t>
      </w:r>
      <w:r w:rsidRPr="00231C05">
        <w:rPr>
          <w:sz w:val="26"/>
          <w:szCs w:val="26"/>
        </w:rPr>
        <w:t xml:space="preserve"> of Met Ed and Penelec, but would require these Companies to implement measures to accommodate all large commercial and industrial customers and to allow participation in the </w:t>
      </w:r>
      <w:r>
        <w:rPr>
          <w:sz w:val="26"/>
          <w:szCs w:val="26"/>
        </w:rPr>
        <w:t xml:space="preserve">demand response </w:t>
      </w:r>
      <w:r w:rsidRPr="00231C05">
        <w:rPr>
          <w:sz w:val="26"/>
          <w:szCs w:val="26"/>
        </w:rPr>
        <w:t>program</w:t>
      </w:r>
      <w:r>
        <w:rPr>
          <w:sz w:val="26"/>
          <w:szCs w:val="26"/>
        </w:rPr>
        <w:t>s</w:t>
      </w:r>
      <w:r w:rsidRPr="00231C05">
        <w:rPr>
          <w:sz w:val="26"/>
          <w:szCs w:val="26"/>
        </w:rPr>
        <w:t xml:space="preserve"> </w:t>
      </w:r>
      <w:r>
        <w:rPr>
          <w:sz w:val="26"/>
          <w:szCs w:val="26"/>
        </w:rPr>
        <w:t>to more than just one or two curtailment service provider</w:t>
      </w:r>
      <w:r w:rsidRPr="00231C05">
        <w:rPr>
          <w:sz w:val="26"/>
          <w:szCs w:val="26"/>
        </w:rPr>
        <w:t xml:space="preserve">s.  MEIUG </w:t>
      </w:r>
      <w:r w:rsidRPr="00231C05">
        <w:rPr>
          <w:i/>
          <w:sz w:val="26"/>
          <w:szCs w:val="26"/>
        </w:rPr>
        <w:t>et al</w:t>
      </w:r>
      <w:r w:rsidRPr="00231C05">
        <w:rPr>
          <w:sz w:val="26"/>
          <w:szCs w:val="26"/>
        </w:rPr>
        <w:t xml:space="preserve">. MB at 4-5.  MEIUG </w:t>
      </w:r>
      <w:r w:rsidRPr="00231C05">
        <w:rPr>
          <w:i/>
          <w:sz w:val="26"/>
          <w:szCs w:val="26"/>
        </w:rPr>
        <w:t>et al</w:t>
      </w:r>
      <w:r w:rsidRPr="00231C05">
        <w:rPr>
          <w:sz w:val="26"/>
          <w:szCs w:val="26"/>
        </w:rPr>
        <w:t>. observes that PJM’s websi</w:t>
      </w:r>
      <w:r w:rsidR="00BF71BA">
        <w:rPr>
          <w:sz w:val="26"/>
          <w:szCs w:val="26"/>
        </w:rPr>
        <w:t>te lists approximately 76 </w:t>
      </w:r>
      <w:r>
        <w:rPr>
          <w:sz w:val="26"/>
          <w:szCs w:val="26"/>
        </w:rPr>
        <w:t>curtailment service provider</w:t>
      </w:r>
      <w:r w:rsidRPr="00231C05">
        <w:rPr>
          <w:sz w:val="26"/>
          <w:szCs w:val="26"/>
        </w:rPr>
        <w:t xml:space="preserve">s.  MEIUG </w:t>
      </w:r>
      <w:r w:rsidRPr="00231C05">
        <w:rPr>
          <w:i/>
          <w:sz w:val="26"/>
          <w:szCs w:val="26"/>
        </w:rPr>
        <w:t>et al</w:t>
      </w:r>
      <w:r>
        <w:rPr>
          <w:sz w:val="26"/>
          <w:szCs w:val="26"/>
        </w:rPr>
        <w:t>. wants as</w:t>
      </w:r>
      <w:r w:rsidRPr="00231C05">
        <w:rPr>
          <w:sz w:val="26"/>
          <w:szCs w:val="26"/>
        </w:rPr>
        <w:t>surance that any customer who is under</w:t>
      </w:r>
      <w:r>
        <w:rPr>
          <w:sz w:val="26"/>
          <w:szCs w:val="26"/>
        </w:rPr>
        <w:t xml:space="preserve"> a long-term contract with a curtailment service provider</w:t>
      </w:r>
      <w:r w:rsidRPr="00231C05">
        <w:rPr>
          <w:sz w:val="26"/>
          <w:szCs w:val="26"/>
        </w:rPr>
        <w:t xml:space="preserve"> can participate in Met Ed’s and Penelec’s demand response programs.  </w:t>
      </w:r>
      <w:r w:rsidRPr="00231C05">
        <w:rPr>
          <w:i/>
          <w:sz w:val="26"/>
          <w:szCs w:val="26"/>
        </w:rPr>
        <w:t xml:space="preserve"> Id</w:t>
      </w:r>
      <w:r w:rsidRPr="00231C05">
        <w:rPr>
          <w:sz w:val="26"/>
          <w:szCs w:val="26"/>
        </w:rPr>
        <w:t xml:space="preserve">. at 10.  To ensure that all customers have an opportunity to participate in the program, MEIUG </w:t>
      </w:r>
      <w:r w:rsidRPr="00231C05">
        <w:rPr>
          <w:i/>
          <w:sz w:val="26"/>
          <w:szCs w:val="26"/>
        </w:rPr>
        <w:t>et al</w:t>
      </w:r>
      <w:r w:rsidRPr="00231C05">
        <w:rPr>
          <w:sz w:val="26"/>
          <w:szCs w:val="26"/>
        </w:rPr>
        <w:t>. recommends that FirstEnergy establish a set date and price at which curtailment commitment</w:t>
      </w:r>
      <w:r>
        <w:rPr>
          <w:sz w:val="26"/>
          <w:szCs w:val="26"/>
        </w:rPr>
        <w:t xml:space="preserve"> offers will be submitted by curtailment service provider</w:t>
      </w:r>
      <w:r w:rsidRPr="00231C05">
        <w:rPr>
          <w:sz w:val="26"/>
          <w:szCs w:val="26"/>
        </w:rPr>
        <w:t>s and FirstEnergy should, to the extent possible, ent</w:t>
      </w:r>
      <w:r>
        <w:rPr>
          <w:sz w:val="26"/>
          <w:szCs w:val="26"/>
        </w:rPr>
        <w:t>er into contracts with every curtailment service provider</w:t>
      </w:r>
      <w:r w:rsidRPr="00231C05">
        <w:rPr>
          <w:sz w:val="26"/>
          <w:szCs w:val="26"/>
        </w:rPr>
        <w:t xml:space="preserve"> that meets these requirements.  </w:t>
      </w:r>
      <w:r w:rsidRPr="00231C05">
        <w:rPr>
          <w:i/>
          <w:sz w:val="26"/>
          <w:szCs w:val="26"/>
        </w:rPr>
        <w:t>Id.</w:t>
      </w:r>
      <w:r w:rsidRPr="00231C05">
        <w:rPr>
          <w:sz w:val="26"/>
          <w:szCs w:val="26"/>
        </w:rPr>
        <w:t xml:space="preserve"> at 12.  </w:t>
      </w:r>
    </w:p>
    <w:p w:rsidR="00570386" w:rsidRPr="00231C05" w:rsidRDefault="00570386" w:rsidP="00570386">
      <w:pPr>
        <w:spacing w:line="360" w:lineRule="auto"/>
        <w:rPr>
          <w:b/>
          <w:sz w:val="26"/>
          <w:szCs w:val="26"/>
        </w:rPr>
      </w:pPr>
    </w:p>
    <w:p w:rsidR="00570386" w:rsidRPr="00231C05" w:rsidRDefault="00570386" w:rsidP="00570386">
      <w:pPr>
        <w:spacing w:line="360" w:lineRule="auto"/>
        <w:rPr>
          <w:sz w:val="26"/>
          <w:szCs w:val="26"/>
        </w:rPr>
      </w:pPr>
      <w:r w:rsidRPr="00231C05">
        <w:rPr>
          <w:sz w:val="26"/>
          <w:szCs w:val="26"/>
        </w:rPr>
        <w:lastRenderedPageBreak/>
        <w:tab/>
      </w:r>
      <w:r w:rsidRPr="00231C05">
        <w:rPr>
          <w:sz w:val="26"/>
          <w:szCs w:val="26"/>
        </w:rPr>
        <w:tab/>
        <w:t>The Companies state that they will provide the same information and the sa</w:t>
      </w:r>
      <w:r>
        <w:rPr>
          <w:sz w:val="26"/>
          <w:szCs w:val="26"/>
        </w:rPr>
        <w:t>me program structures to all curtailment service provider</w:t>
      </w:r>
      <w:r w:rsidRPr="00231C05">
        <w:rPr>
          <w:sz w:val="26"/>
          <w:szCs w:val="26"/>
        </w:rPr>
        <w:t>s and that no preferential treatment will</w:t>
      </w:r>
      <w:r>
        <w:rPr>
          <w:sz w:val="26"/>
          <w:szCs w:val="26"/>
        </w:rPr>
        <w:t xml:space="preserve"> be provided to any specific curtailment service provider</w:t>
      </w:r>
      <w:r w:rsidRPr="00231C05">
        <w:rPr>
          <w:sz w:val="26"/>
          <w:szCs w:val="26"/>
        </w:rPr>
        <w:t xml:space="preserve">.  FirstEnergy RB at 37. </w:t>
      </w:r>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68" w:name="_Toc242690879"/>
      <w:bookmarkStart w:id="269" w:name="_Toc244499400"/>
      <w:r w:rsidRPr="00231C05">
        <w:rPr>
          <w:rFonts w:cs="Times New Roman"/>
          <w:szCs w:val="26"/>
        </w:rPr>
        <w:t>(2)</w:t>
      </w:r>
      <w:r w:rsidRPr="00231C05">
        <w:rPr>
          <w:rFonts w:cs="Times New Roman"/>
          <w:szCs w:val="26"/>
        </w:rPr>
        <w:tab/>
        <w:t>Disposition</w:t>
      </w:r>
      <w:bookmarkEnd w:id="268"/>
      <w:bookmarkEnd w:id="269"/>
    </w:p>
    <w:p w:rsidR="00570386" w:rsidRPr="00231C05" w:rsidRDefault="00570386" w:rsidP="00570386">
      <w:pPr>
        <w:spacing w:line="360" w:lineRule="auto"/>
        <w:ind w:firstLine="1440"/>
        <w:rPr>
          <w:sz w:val="26"/>
          <w:szCs w:val="26"/>
        </w:rPr>
      </w:pPr>
    </w:p>
    <w:p w:rsidR="0021132F" w:rsidRDefault="00570386" w:rsidP="006D428A">
      <w:pPr>
        <w:spacing w:line="360" w:lineRule="auto"/>
        <w:ind w:firstLine="1440"/>
        <w:rPr>
          <w:sz w:val="26"/>
          <w:szCs w:val="26"/>
        </w:rPr>
      </w:pPr>
      <w:r w:rsidRPr="00231C05">
        <w:rPr>
          <w:sz w:val="26"/>
          <w:szCs w:val="26"/>
        </w:rPr>
        <w:t xml:space="preserve">As stated above, we conclude that the “first come first served” approach proposed by </w:t>
      </w:r>
      <w:r>
        <w:rPr>
          <w:sz w:val="26"/>
          <w:szCs w:val="26"/>
        </w:rPr>
        <w:t>FirstEnergy</w:t>
      </w:r>
      <w:r w:rsidRPr="00231C05">
        <w:rPr>
          <w:sz w:val="26"/>
          <w:szCs w:val="26"/>
        </w:rPr>
        <w:t xml:space="preserve"> is reasonable and in compliance </w:t>
      </w:r>
      <w:r>
        <w:rPr>
          <w:sz w:val="26"/>
          <w:szCs w:val="26"/>
        </w:rPr>
        <w:t>with Act 129, so long as all curtailment service provider</w:t>
      </w:r>
      <w:r w:rsidRPr="00231C05">
        <w:rPr>
          <w:sz w:val="26"/>
          <w:szCs w:val="26"/>
        </w:rPr>
        <w:t xml:space="preserve">s have the opportunity to participate in </w:t>
      </w:r>
      <w:r>
        <w:rPr>
          <w:sz w:val="26"/>
          <w:szCs w:val="26"/>
        </w:rPr>
        <w:t xml:space="preserve">both </w:t>
      </w:r>
      <w:r w:rsidRPr="00231C05">
        <w:rPr>
          <w:sz w:val="26"/>
          <w:szCs w:val="26"/>
        </w:rPr>
        <w:t xml:space="preserve">the FirstEnergy </w:t>
      </w:r>
      <w:r>
        <w:rPr>
          <w:sz w:val="26"/>
          <w:szCs w:val="26"/>
        </w:rPr>
        <w:t xml:space="preserve">demand response </w:t>
      </w:r>
      <w:r w:rsidRPr="00231C05">
        <w:rPr>
          <w:sz w:val="26"/>
          <w:szCs w:val="26"/>
        </w:rPr>
        <w:t>programs and the PJM program on a fair, reasonable and non-discriminatory basis.  The Companies state that they will provide</w:t>
      </w:r>
      <w:r>
        <w:rPr>
          <w:sz w:val="26"/>
          <w:szCs w:val="26"/>
        </w:rPr>
        <w:t xml:space="preserve"> the same information to all curtailment service provider</w:t>
      </w:r>
      <w:r w:rsidRPr="00231C05">
        <w:rPr>
          <w:sz w:val="26"/>
          <w:szCs w:val="26"/>
        </w:rPr>
        <w:t xml:space="preserve">s and those customers </w:t>
      </w:r>
      <w:r>
        <w:rPr>
          <w:sz w:val="26"/>
          <w:szCs w:val="26"/>
        </w:rPr>
        <w:t>who plan to act as their own curtailment service provider</w:t>
      </w:r>
      <w:r w:rsidRPr="00231C05">
        <w:rPr>
          <w:sz w:val="26"/>
          <w:szCs w:val="26"/>
        </w:rPr>
        <w:t>s and we believe that it is in FirstE</w:t>
      </w:r>
      <w:r w:rsidR="006D428A">
        <w:rPr>
          <w:sz w:val="26"/>
          <w:szCs w:val="26"/>
        </w:rPr>
        <w:t>nergy’s best interest to do so</w:t>
      </w:r>
      <w:r w:rsidRPr="00231C05">
        <w:rPr>
          <w:sz w:val="26"/>
          <w:szCs w:val="26"/>
        </w:rPr>
        <w:t xml:space="preserve">.  </w:t>
      </w:r>
    </w:p>
    <w:p w:rsidR="006D428A" w:rsidRDefault="006D428A" w:rsidP="006D428A">
      <w:pPr>
        <w:spacing w:line="360" w:lineRule="auto"/>
        <w:ind w:firstLine="1440"/>
        <w:rPr>
          <w:sz w:val="26"/>
          <w:szCs w:val="26"/>
        </w:rPr>
      </w:pPr>
      <w:r>
        <w:rPr>
          <w:sz w:val="26"/>
          <w:szCs w:val="26"/>
        </w:rPr>
        <w:t>In addition, the Commission expects that</w:t>
      </w:r>
      <w:r w:rsidR="0021132F">
        <w:rPr>
          <w:sz w:val="26"/>
          <w:szCs w:val="26"/>
        </w:rPr>
        <w:t xml:space="preserve"> the Companies will demonstrate a commitment to fair and non-discriminatory treatment as between third-party curtailment service providers and the Companies acting as curtailment service providers.  For example,</w:t>
      </w:r>
      <w:r>
        <w:rPr>
          <w:sz w:val="26"/>
          <w:szCs w:val="26"/>
        </w:rPr>
        <w:t xml:space="preserve"> incentives and company program cost subsidies for equipment, marketing, and administrative support </w:t>
      </w:r>
      <w:r w:rsidR="0021132F">
        <w:rPr>
          <w:sz w:val="26"/>
          <w:szCs w:val="26"/>
        </w:rPr>
        <w:t xml:space="preserve">must </w:t>
      </w:r>
      <w:r>
        <w:rPr>
          <w:sz w:val="26"/>
          <w:szCs w:val="26"/>
        </w:rPr>
        <w:t>be comparable whether Met Ed and/or Penelec is acting a</w:t>
      </w:r>
      <w:r w:rsidR="004F6D76">
        <w:rPr>
          <w:sz w:val="26"/>
          <w:szCs w:val="26"/>
        </w:rPr>
        <w:t>s a</w:t>
      </w:r>
      <w:r>
        <w:rPr>
          <w:sz w:val="26"/>
          <w:szCs w:val="26"/>
        </w:rPr>
        <w:t xml:space="preserve"> curtailment service provider or </w:t>
      </w:r>
      <w:r w:rsidR="0021132F">
        <w:rPr>
          <w:sz w:val="26"/>
          <w:szCs w:val="26"/>
        </w:rPr>
        <w:t xml:space="preserve">is </w:t>
      </w:r>
      <w:r>
        <w:rPr>
          <w:sz w:val="26"/>
          <w:szCs w:val="26"/>
        </w:rPr>
        <w:t xml:space="preserve">contracting with a third-party curtailment service provider.  </w:t>
      </w:r>
      <w:r w:rsidR="0021132F">
        <w:rPr>
          <w:sz w:val="26"/>
          <w:szCs w:val="26"/>
        </w:rPr>
        <w:t xml:space="preserve">The </w:t>
      </w:r>
      <w:r w:rsidR="0055505E">
        <w:rPr>
          <w:sz w:val="26"/>
          <w:szCs w:val="26"/>
        </w:rPr>
        <w:t xml:space="preserve">Commission reserves the right to revisit this issue if the evidence indicates that the Plans effectively </w:t>
      </w:r>
      <w:r w:rsidR="0021132F">
        <w:rPr>
          <w:sz w:val="26"/>
          <w:szCs w:val="26"/>
        </w:rPr>
        <w:t xml:space="preserve">discourage participation by third party curtailment service providers </w:t>
      </w:r>
      <w:r w:rsidR="0055505E">
        <w:rPr>
          <w:sz w:val="26"/>
          <w:szCs w:val="26"/>
        </w:rPr>
        <w:t xml:space="preserve">and/or unduly favor </w:t>
      </w:r>
      <w:r w:rsidR="0021132F">
        <w:rPr>
          <w:sz w:val="26"/>
          <w:szCs w:val="26"/>
        </w:rPr>
        <w:t>Met Ed and/or Penelec.</w:t>
      </w:r>
      <w:r w:rsidR="00BF71BA">
        <w:rPr>
          <w:sz w:val="26"/>
          <w:szCs w:val="26"/>
        </w:rPr>
        <w:t xml:space="preserve"> </w:t>
      </w:r>
      <w:r>
        <w:rPr>
          <w:sz w:val="26"/>
          <w:szCs w:val="26"/>
        </w:rPr>
        <w:t xml:space="preserve"> </w:t>
      </w:r>
    </w:p>
    <w:p w:rsidR="001639C2" w:rsidRPr="00231C05" w:rsidRDefault="001639C2" w:rsidP="00570386">
      <w:pPr>
        <w:spacing w:line="360" w:lineRule="auto"/>
        <w:rPr>
          <w:sz w:val="26"/>
          <w:szCs w:val="26"/>
        </w:rPr>
      </w:pPr>
    </w:p>
    <w:p w:rsidR="00DB2822" w:rsidRDefault="00DB2822">
      <w:pPr>
        <w:spacing w:after="200" w:line="276" w:lineRule="auto"/>
        <w:rPr>
          <w:rFonts w:eastAsiaTheme="majorEastAsia"/>
          <w:b/>
          <w:bCs/>
          <w:iCs/>
          <w:sz w:val="26"/>
          <w:szCs w:val="26"/>
        </w:rPr>
      </w:pPr>
      <w:bookmarkStart w:id="270" w:name="_Toc242690880"/>
      <w:r>
        <w:rPr>
          <w:szCs w:val="26"/>
        </w:rPr>
        <w:br w:type="page"/>
      </w:r>
    </w:p>
    <w:p w:rsidR="00570386" w:rsidRPr="00231C05" w:rsidRDefault="00570386" w:rsidP="00570386">
      <w:pPr>
        <w:pStyle w:val="Heading4"/>
        <w:spacing w:line="240" w:lineRule="auto"/>
        <w:ind w:left="2880" w:hanging="720"/>
        <w:rPr>
          <w:rFonts w:cs="Times New Roman"/>
          <w:szCs w:val="26"/>
        </w:rPr>
      </w:pPr>
      <w:bookmarkStart w:id="271" w:name="_Toc244499401"/>
      <w:r w:rsidRPr="00231C05">
        <w:rPr>
          <w:rFonts w:cs="Times New Roman"/>
          <w:szCs w:val="26"/>
        </w:rPr>
        <w:lastRenderedPageBreak/>
        <w:t>f.</w:t>
      </w:r>
      <w:r w:rsidRPr="00231C05">
        <w:rPr>
          <w:rFonts w:cs="Times New Roman"/>
          <w:szCs w:val="26"/>
        </w:rPr>
        <w:tab/>
        <w:t>Credit Requirements</w:t>
      </w:r>
      <w:bookmarkEnd w:id="270"/>
      <w:bookmarkEnd w:id="271"/>
    </w:p>
    <w:p w:rsidR="00570386" w:rsidRDefault="00570386" w:rsidP="00570386">
      <w:pPr>
        <w:rPr>
          <w:sz w:val="26"/>
          <w:szCs w:val="26"/>
        </w:rPr>
      </w:pPr>
    </w:p>
    <w:p w:rsidR="001639C2" w:rsidRPr="00231C05" w:rsidRDefault="001639C2" w:rsidP="00570386">
      <w:pPr>
        <w:rPr>
          <w:sz w:val="26"/>
          <w:szCs w:val="26"/>
        </w:rPr>
      </w:pPr>
    </w:p>
    <w:p w:rsidR="00570386" w:rsidRPr="00231C05" w:rsidRDefault="00570386" w:rsidP="00570386">
      <w:pPr>
        <w:pStyle w:val="Heading5"/>
        <w:rPr>
          <w:rFonts w:cs="Times New Roman"/>
          <w:szCs w:val="26"/>
        </w:rPr>
      </w:pPr>
      <w:bookmarkStart w:id="272" w:name="_Toc242690881"/>
      <w:bookmarkStart w:id="273" w:name="_Toc244499402"/>
      <w:r w:rsidRPr="00231C05">
        <w:rPr>
          <w:rFonts w:cs="Times New Roman"/>
          <w:szCs w:val="26"/>
        </w:rPr>
        <w:t>(1)</w:t>
      </w:r>
      <w:r w:rsidRPr="00231C05">
        <w:rPr>
          <w:rFonts w:cs="Times New Roman"/>
          <w:szCs w:val="26"/>
        </w:rPr>
        <w:tab/>
        <w:t>Positions of the Parties</w:t>
      </w:r>
      <w:bookmarkEnd w:id="272"/>
      <w:bookmarkEnd w:id="273"/>
    </w:p>
    <w:p w:rsidR="00570386" w:rsidRPr="00231C05" w:rsidRDefault="00570386" w:rsidP="00570386">
      <w:pPr>
        <w:rPr>
          <w:sz w:val="26"/>
          <w:szCs w:val="26"/>
        </w:rPr>
      </w:pPr>
    </w:p>
    <w:p w:rsidR="00570386" w:rsidRPr="00231C05" w:rsidRDefault="00570386" w:rsidP="00570386">
      <w:pPr>
        <w:spacing w:line="360" w:lineRule="auto"/>
        <w:ind w:firstLine="1440"/>
        <w:rPr>
          <w:sz w:val="26"/>
          <w:szCs w:val="26"/>
        </w:rPr>
      </w:pPr>
      <w:r w:rsidRPr="00231C05">
        <w:rPr>
          <w:sz w:val="26"/>
          <w:szCs w:val="26"/>
        </w:rPr>
        <w:t>The demand response program</w:t>
      </w:r>
      <w:r w:rsidR="007F77B6">
        <w:rPr>
          <w:sz w:val="26"/>
          <w:szCs w:val="26"/>
        </w:rPr>
        <w:t>s</w:t>
      </w:r>
      <w:r w:rsidRPr="00231C05">
        <w:rPr>
          <w:sz w:val="26"/>
          <w:szCs w:val="26"/>
        </w:rPr>
        <w:t xml:space="preserve"> of both Met Ed and Penelec contain the following credit requirements:</w:t>
      </w:r>
    </w:p>
    <w:p w:rsidR="00570386" w:rsidRPr="00231C05" w:rsidRDefault="00570386" w:rsidP="00570386">
      <w:pPr>
        <w:ind w:left="1440" w:right="1440"/>
        <w:rPr>
          <w:sz w:val="26"/>
          <w:szCs w:val="26"/>
        </w:rPr>
      </w:pPr>
    </w:p>
    <w:p w:rsidR="00570386" w:rsidRDefault="00570386" w:rsidP="00570386">
      <w:pPr>
        <w:ind w:left="1440" w:right="1440"/>
        <w:rPr>
          <w:sz w:val="26"/>
          <w:szCs w:val="26"/>
        </w:rPr>
      </w:pPr>
      <w:r w:rsidRPr="00231C05">
        <w:rPr>
          <w:sz w:val="26"/>
          <w:szCs w:val="26"/>
        </w:rPr>
        <w:t>The Curtailment Service Provider (“CSP”) or its Guarantor will be deemed creditworthy upon meeting the following requirements:</w:t>
      </w:r>
    </w:p>
    <w:p w:rsidR="00790D65" w:rsidRPr="00231C05" w:rsidRDefault="00790D65" w:rsidP="00570386">
      <w:pPr>
        <w:ind w:left="1440" w:right="1440"/>
        <w:rPr>
          <w:sz w:val="26"/>
          <w:szCs w:val="26"/>
        </w:rPr>
      </w:pPr>
    </w:p>
    <w:p w:rsidR="00570386" w:rsidRDefault="00570386" w:rsidP="00570386">
      <w:pPr>
        <w:ind w:left="1440" w:right="1440"/>
        <w:rPr>
          <w:sz w:val="26"/>
          <w:szCs w:val="26"/>
        </w:rPr>
      </w:pPr>
      <w:r w:rsidRPr="00231C05">
        <w:rPr>
          <w:sz w:val="26"/>
          <w:szCs w:val="26"/>
        </w:rPr>
        <w:tab/>
        <w:t>a.</w:t>
      </w:r>
      <w:r w:rsidRPr="00231C05">
        <w:rPr>
          <w:sz w:val="26"/>
          <w:szCs w:val="26"/>
        </w:rPr>
        <w:tab/>
        <w:t>the CSP has a minimum senior unsecured debt rating (or, if unavailable, corporate issuer) from one of the following rating agencies of at least “BBB-“ from S&amp;P, “Baa3” from Moody’s, or “BBB-“ from Fitch</w:t>
      </w:r>
    </w:p>
    <w:p w:rsidR="00790D65" w:rsidRPr="00231C05" w:rsidRDefault="00790D65" w:rsidP="00570386">
      <w:pPr>
        <w:ind w:left="1440" w:right="1440"/>
        <w:rPr>
          <w:sz w:val="26"/>
          <w:szCs w:val="26"/>
        </w:rPr>
      </w:pPr>
    </w:p>
    <w:p w:rsidR="00570386" w:rsidRPr="00231C05" w:rsidRDefault="00570386" w:rsidP="00570386">
      <w:pPr>
        <w:ind w:left="1440" w:right="1440"/>
        <w:rPr>
          <w:sz w:val="26"/>
          <w:szCs w:val="26"/>
        </w:rPr>
      </w:pPr>
      <w:r w:rsidRPr="00231C05">
        <w:rPr>
          <w:sz w:val="26"/>
          <w:szCs w:val="26"/>
        </w:rPr>
        <w:tab/>
        <w:t>b.</w:t>
      </w:r>
      <w:r w:rsidRPr="00231C05">
        <w:rPr>
          <w:sz w:val="26"/>
          <w:szCs w:val="26"/>
        </w:rPr>
        <w:tab/>
        <w:t>If the CSP does not meet the creditworthiness requirement, the CSP will need to post a parent guaranty from a guarantor that meets the credit requirement as stated above, or a Letter of Credit from a bank with an S&amp;P credit rating of A or Moody’s credit rating of Aa2, or Cash deposit to meet the customer’s default obligation under the curtailment program.</w:t>
      </w:r>
    </w:p>
    <w:p w:rsidR="00570386" w:rsidRPr="00231C05" w:rsidRDefault="00570386" w:rsidP="00570386">
      <w:pPr>
        <w:spacing w:line="360" w:lineRule="auto"/>
        <w:ind w:firstLine="1440"/>
        <w:rPr>
          <w:sz w:val="26"/>
          <w:szCs w:val="26"/>
        </w:rPr>
      </w:pPr>
    </w:p>
    <w:p w:rsidR="00570386" w:rsidRPr="00231C05" w:rsidRDefault="00570386" w:rsidP="00570386">
      <w:pPr>
        <w:spacing w:line="360" w:lineRule="auto"/>
        <w:rPr>
          <w:sz w:val="26"/>
          <w:szCs w:val="26"/>
        </w:rPr>
      </w:pPr>
      <w:r w:rsidRPr="00231C05">
        <w:rPr>
          <w:sz w:val="26"/>
          <w:szCs w:val="26"/>
        </w:rPr>
        <w:t xml:space="preserve">FirstEnergy Ex. GLF-2 at 2 and 13. </w:t>
      </w:r>
      <w:r w:rsidRPr="00231C05">
        <w:rPr>
          <w:sz w:val="26"/>
          <w:szCs w:val="26"/>
        </w:rPr>
        <w:tab/>
      </w:r>
      <w:r w:rsidRPr="00231C05">
        <w:rPr>
          <w:sz w:val="26"/>
          <w:szCs w:val="26"/>
        </w:rPr>
        <w:tab/>
      </w:r>
    </w:p>
    <w:p w:rsidR="00570386" w:rsidRPr="00231C05" w:rsidRDefault="00570386" w:rsidP="00570386">
      <w:pPr>
        <w:spacing w:line="360" w:lineRule="auto"/>
        <w:rPr>
          <w:sz w:val="26"/>
          <w:szCs w:val="26"/>
        </w:rPr>
      </w:pPr>
    </w:p>
    <w:p w:rsidR="00570386" w:rsidRPr="00231C05" w:rsidRDefault="00570386" w:rsidP="00570386">
      <w:pPr>
        <w:spacing w:line="360" w:lineRule="auto"/>
        <w:ind w:firstLine="1440"/>
        <w:rPr>
          <w:sz w:val="26"/>
          <w:szCs w:val="26"/>
        </w:rPr>
      </w:pPr>
      <w:r w:rsidRPr="00231C05">
        <w:rPr>
          <w:sz w:val="26"/>
          <w:szCs w:val="26"/>
        </w:rPr>
        <w:t>EnerNOC supports these credit requirements.  According to EnerNOC, “to not have credit requirements to insure against a case of non-performance would not be a ‘prudent or reasonable’ business decision on the EDC’s part.”  EnerNOC MB at 16.</w:t>
      </w:r>
    </w:p>
    <w:p w:rsidR="00570386" w:rsidRPr="00231C05" w:rsidRDefault="00570386" w:rsidP="00570386">
      <w:pPr>
        <w:spacing w:line="360" w:lineRule="auto"/>
        <w:ind w:firstLine="1440"/>
        <w:rPr>
          <w:sz w:val="26"/>
          <w:szCs w:val="26"/>
        </w:rPr>
      </w:pPr>
    </w:p>
    <w:p w:rsidR="00570386" w:rsidRPr="00231C05" w:rsidRDefault="00570386" w:rsidP="00570386">
      <w:pPr>
        <w:spacing w:line="360" w:lineRule="auto"/>
        <w:ind w:firstLine="1440"/>
        <w:rPr>
          <w:sz w:val="26"/>
          <w:szCs w:val="26"/>
        </w:rPr>
      </w:pPr>
      <w:r w:rsidRPr="00231C05">
        <w:rPr>
          <w:sz w:val="26"/>
          <w:szCs w:val="26"/>
        </w:rPr>
        <w:t xml:space="preserve">ClearChoice disagrees with EnerNOC’s position. ClearChoice RB at 6.  ClearChoice states that PJM’s economic program is a voluntary program with no credit requirements or penalties for nonperformance.   ClearChoice RB at 7.  ClearChoice believes that the credit requirements proposed by Met Ed and Penelec create a barrier to </w:t>
      </w:r>
      <w:r w:rsidRPr="00231C05">
        <w:rPr>
          <w:sz w:val="26"/>
          <w:szCs w:val="26"/>
        </w:rPr>
        <w:lastRenderedPageBreak/>
        <w:t>entry that would severely limit the numbe</w:t>
      </w:r>
      <w:r>
        <w:rPr>
          <w:sz w:val="26"/>
          <w:szCs w:val="26"/>
        </w:rPr>
        <w:t>r of curtailment service provider</w:t>
      </w:r>
      <w:r w:rsidRPr="00231C05">
        <w:rPr>
          <w:sz w:val="26"/>
          <w:szCs w:val="26"/>
        </w:rPr>
        <w:t>s able to participate. ClearChoice RB at 7.</w:t>
      </w:r>
    </w:p>
    <w:p w:rsidR="00570386" w:rsidRPr="00231C05" w:rsidRDefault="00570386" w:rsidP="00570386">
      <w:pPr>
        <w:spacing w:line="360" w:lineRule="auto"/>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ClearChoice suggests that the way to promote participation by demand response resources is to eliminate barriers to entry (such as credit requirements) and to minimize performance penalties.  ClearChoice RB at 8.  ClearChoice proposes that non-performance pe</w:t>
      </w:r>
      <w:r>
        <w:rPr>
          <w:sz w:val="26"/>
          <w:szCs w:val="26"/>
        </w:rPr>
        <w:t>nalties can be assigned by the c</w:t>
      </w:r>
      <w:r w:rsidRPr="00231C05">
        <w:rPr>
          <w:sz w:val="26"/>
          <w:szCs w:val="26"/>
        </w:rPr>
        <w:t>urtailment</w:t>
      </w:r>
      <w:r>
        <w:rPr>
          <w:sz w:val="26"/>
          <w:szCs w:val="26"/>
        </w:rPr>
        <w:t xml:space="preserve"> service provider</w:t>
      </w:r>
      <w:r w:rsidRPr="00231C05">
        <w:rPr>
          <w:sz w:val="26"/>
          <w:szCs w:val="26"/>
        </w:rPr>
        <w:t xml:space="preserve"> to FirstEnergy for billing purposes similar to Purchase of Receivables (“POR”) Programs agreed-to under EDC Default Service Plans.  ClearChoice states that the POR programs have been successful and that they are a low cost alternative that can significantly mitigate the credit risks to Met Ed and Penelec.  ClearChoice RB at 10.</w:t>
      </w:r>
    </w:p>
    <w:p w:rsidR="00570386" w:rsidRPr="00231C05" w:rsidRDefault="00570386" w:rsidP="00570386">
      <w:pPr>
        <w:spacing w:line="360" w:lineRule="auto"/>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 xml:space="preserve">MEIUG </w:t>
      </w:r>
      <w:r w:rsidRPr="00231C05">
        <w:rPr>
          <w:i/>
          <w:sz w:val="26"/>
          <w:szCs w:val="26"/>
        </w:rPr>
        <w:t>et al</w:t>
      </w:r>
      <w:r w:rsidRPr="00231C05">
        <w:rPr>
          <w:sz w:val="26"/>
          <w:szCs w:val="26"/>
        </w:rPr>
        <w:t xml:space="preserve">. opposes the credit requirements proposed by Met Ed and Penelec.  MEIUG </w:t>
      </w:r>
      <w:r w:rsidRPr="00231C05">
        <w:rPr>
          <w:i/>
          <w:sz w:val="26"/>
          <w:szCs w:val="26"/>
        </w:rPr>
        <w:t>et al.</w:t>
      </w:r>
      <w:r w:rsidRPr="00231C05">
        <w:rPr>
          <w:sz w:val="26"/>
          <w:szCs w:val="26"/>
        </w:rPr>
        <w:t xml:space="preserve"> is primarily concerned that as many industrial customers as possible participate in the program.  MEIUG </w:t>
      </w:r>
      <w:r w:rsidRPr="00231C05">
        <w:rPr>
          <w:i/>
          <w:sz w:val="26"/>
          <w:szCs w:val="26"/>
        </w:rPr>
        <w:t>et al.</w:t>
      </w:r>
      <w:r w:rsidRPr="00231C05">
        <w:rPr>
          <w:sz w:val="26"/>
          <w:szCs w:val="26"/>
        </w:rPr>
        <w:t xml:space="preserve"> con</w:t>
      </w:r>
      <w:r>
        <w:rPr>
          <w:sz w:val="26"/>
          <w:szCs w:val="26"/>
        </w:rPr>
        <w:t xml:space="preserve">siders the credit requirements </w:t>
      </w:r>
      <w:r w:rsidRPr="00231C05">
        <w:rPr>
          <w:sz w:val="26"/>
          <w:szCs w:val="26"/>
        </w:rPr>
        <w:t xml:space="preserve">exclusory and unnecessary.  MEIUG </w:t>
      </w:r>
      <w:r w:rsidRPr="00231C05">
        <w:rPr>
          <w:i/>
          <w:sz w:val="26"/>
          <w:szCs w:val="26"/>
        </w:rPr>
        <w:t>et al.</w:t>
      </w:r>
      <w:r w:rsidRPr="00231C05">
        <w:rPr>
          <w:sz w:val="26"/>
          <w:szCs w:val="26"/>
        </w:rPr>
        <w:t xml:space="preserve"> RB at 6.</w:t>
      </w:r>
    </w:p>
    <w:p w:rsidR="00570386" w:rsidRPr="00231C05" w:rsidRDefault="00570386" w:rsidP="00570386">
      <w:pPr>
        <w:spacing w:line="360" w:lineRule="auto"/>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FirstEnergy believes that prudence dictates against adopting ClearChoice</w:t>
      </w:r>
      <w:r>
        <w:rPr>
          <w:sz w:val="26"/>
          <w:szCs w:val="26"/>
        </w:rPr>
        <w:t>’s recommendation to relax the</w:t>
      </w:r>
      <w:r w:rsidRPr="00231C05">
        <w:rPr>
          <w:sz w:val="26"/>
          <w:szCs w:val="26"/>
        </w:rPr>
        <w:t xml:space="preserve"> credit rules, at least without some assurance from the Commission that, if small businesses fail to perform or are unable to pay participants, Met Ed and/or Penelec would not be penalized.  FirstEnergy RB at 39.  </w:t>
      </w:r>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74" w:name="_Toc242690882"/>
      <w:bookmarkStart w:id="275" w:name="_Toc244499403"/>
      <w:r w:rsidRPr="00231C05">
        <w:rPr>
          <w:rFonts w:cs="Times New Roman"/>
          <w:szCs w:val="26"/>
        </w:rPr>
        <w:t>(2)</w:t>
      </w:r>
      <w:r w:rsidRPr="00231C05">
        <w:rPr>
          <w:rFonts w:cs="Times New Roman"/>
          <w:szCs w:val="26"/>
        </w:rPr>
        <w:tab/>
        <w:t>Disposition</w:t>
      </w:r>
      <w:bookmarkEnd w:id="274"/>
      <w:bookmarkEnd w:id="275"/>
    </w:p>
    <w:p w:rsidR="008135EF" w:rsidRDefault="008135EF" w:rsidP="00570386">
      <w:pPr>
        <w:spacing w:line="360" w:lineRule="auto"/>
        <w:ind w:firstLine="1440"/>
        <w:rPr>
          <w:sz w:val="26"/>
          <w:szCs w:val="26"/>
        </w:rPr>
      </w:pPr>
    </w:p>
    <w:p w:rsidR="005A0405" w:rsidRDefault="008135EF" w:rsidP="00570386">
      <w:pPr>
        <w:spacing w:line="360" w:lineRule="auto"/>
        <w:ind w:firstLine="1440"/>
        <w:rPr>
          <w:sz w:val="26"/>
          <w:szCs w:val="26"/>
        </w:rPr>
      </w:pPr>
      <w:r>
        <w:rPr>
          <w:sz w:val="26"/>
          <w:szCs w:val="26"/>
        </w:rPr>
        <w:t xml:space="preserve">We will reject the proposed credit requirements because the Companies failed to carry their burden of proving they are reasonable.  The proposed credit requirements were inserted into the Plans by way of written rebuttal testimony introduced at the hearing on August 31, 2009.  The Companies’ witnesses explained that the Plans were being modified to establish credit requirements, but failed to provide any substantial </w:t>
      </w:r>
      <w:r>
        <w:rPr>
          <w:sz w:val="26"/>
          <w:szCs w:val="26"/>
        </w:rPr>
        <w:lastRenderedPageBreak/>
        <w:t xml:space="preserve">justification for this change.  </w:t>
      </w:r>
      <w:r w:rsidR="0011598A">
        <w:rPr>
          <w:sz w:val="26"/>
          <w:szCs w:val="26"/>
        </w:rPr>
        <w:t>The Companies’ witnesses failed to establish t</w:t>
      </w:r>
      <w:r w:rsidR="00995D34">
        <w:rPr>
          <w:sz w:val="26"/>
          <w:szCs w:val="26"/>
        </w:rPr>
        <w:t>he need for credit requirements</w:t>
      </w:r>
      <w:r w:rsidR="0011598A">
        <w:rPr>
          <w:sz w:val="26"/>
          <w:szCs w:val="26"/>
        </w:rPr>
        <w:t xml:space="preserve"> considering that there are penalties in the Plans and considering PJM’s existing requirements for </w:t>
      </w:r>
      <w:r w:rsidR="000A4AD2">
        <w:rPr>
          <w:sz w:val="26"/>
          <w:szCs w:val="26"/>
        </w:rPr>
        <w:t>curtai</w:t>
      </w:r>
      <w:r w:rsidR="0011598A">
        <w:rPr>
          <w:sz w:val="26"/>
          <w:szCs w:val="26"/>
        </w:rPr>
        <w:t>lment service providers</w:t>
      </w:r>
      <w:r w:rsidR="005A0405">
        <w:rPr>
          <w:sz w:val="26"/>
          <w:szCs w:val="26"/>
        </w:rPr>
        <w:t xml:space="preserve">.   </w:t>
      </w:r>
    </w:p>
    <w:p w:rsidR="005A0405" w:rsidRDefault="005A0405" w:rsidP="00570386">
      <w:pPr>
        <w:spacing w:line="360" w:lineRule="auto"/>
        <w:ind w:firstLine="1440"/>
        <w:rPr>
          <w:sz w:val="26"/>
          <w:szCs w:val="26"/>
        </w:rPr>
      </w:pPr>
    </w:p>
    <w:p w:rsidR="00570386" w:rsidRPr="00231C05" w:rsidRDefault="005A0405" w:rsidP="00570386">
      <w:pPr>
        <w:spacing w:line="360" w:lineRule="auto"/>
        <w:ind w:firstLine="1440"/>
        <w:rPr>
          <w:sz w:val="26"/>
          <w:szCs w:val="26"/>
        </w:rPr>
      </w:pPr>
      <w:r>
        <w:rPr>
          <w:sz w:val="26"/>
          <w:szCs w:val="26"/>
        </w:rPr>
        <w:t>Based on the record in this case, we will reject the proposed credit requirements.  This holding, however, is without prejudice to the Companies’ right to propose credit requirements in the revised Plans, so long as the Companies provide adequate justification for these requirements.</w:t>
      </w:r>
    </w:p>
    <w:p w:rsidR="008135EF" w:rsidRDefault="00570386" w:rsidP="00570386">
      <w:pPr>
        <w:spacing w:line="360" w:lineRule="auto"/>
        <w:rPr>
          <w:sz w:val="26"/>
          <w:szCs w:val="26"/>
        </w:rPr>
      </w:pPr>
      <w:r w:rsidRPr="00231C05">
        <w:rPr>
          <w:sz w:val="26"/>
          <w:szCs w:val="26"/>
        </w:rPr>
        <w:tab/>
      </w:r>
      <w:r w:rsidRPr="00231C05">
        <w:rPr>
          <w:sz w:val="26"/>
          <w:szCs w:val="26"/>
        </w:rPr>
        <w:tab/>
      </w:r>
    </w:p>
    <w:p w:rsidR="00570386" w:rsidRPr="00231C05" w:rsidRDefault="00570386" w:rsidP="00570386">
      <w:pPr>
        <w:pStyle w:val="Heading4"/>
        <w:spacing w:line="240" w:lineRule="auto"/>
        <w:ind w:left="2880" w:hanging="720"/>
        <w:rPr>
          <w:rFonts w:cs="Times New Roman"/>
          <w:szCs w:val="26"/>
        </w:rPr>
      </w:pPr>
      <w:bookmarkStart w:id="276" w:name="_Toc242690883"/>
      <w:bookmarkStart w:id="277" w:name="_Toc244499404"/>
      <w:r w:rsidRPr="00231C05">
        <w:rPr>
          <w:rFonts w:cs="Times New Roman"/>
          <w:szCs w:val="26"/>
        </w:rPr>
        <w:t>g.</w:t>
      </w:r>
      <w:r w:rsidRPr="00231C05">
        <w:rPr>
          <w:rFonts w:cs="Times New Roman"/>
          <w:szCs w:val="26"/>
        </w:rPr>
        <w:tab/>
        <w:t>Quota for Disadvantaged Businesses</w:t>
      </w:r>
      <w:bookmarkEnd w:id="276"/>
      <w:bookmarkEnd w:id="277"/>
    </w:p>
    <w:p w:rsidR="00570386" w:rsidRDefault="00570386" w:rsidP="00570386">
      <w:pPr>
        <w:rPr>
          <w:sz w:val="26"/>
          <w:szCs w:val="26"/>
        </w:rPr>
      </w:pPr>
    </w:p>
    <w:p w:rsidR="001639C2" w:rsidRPr="00231C05" w:rsidRDefault="001639C2" w:rsidP="00570386">
      <w:pPr>
        <w:rPr>
          <w:sz w:val="26"/>
          <w:szCs w:val="26"/>
        </w:rPr>
      </w:pPr>
    </w:p>
    <w:p w:rsidR="00570386" w:rsidRPr="00231C05" w:rsidRDefault="00570386" w:rsidP="00570386">
      <w:pPr>
        <w:pStyle w:val="Heading5"/>
        <w:rPr>
          <w:rFonts w:cs="Times New Roman"/>
          <w:szCs w:val="26"/>
        </w:rPr>
      </w:pPr>
      <w:bookmarkStart w:id="278" w:name="_Toc242690884"/>
      <w:bookmarkStart w:id="279" w:name="_Toc244499405"/>
      <w:r w:rsidRPr="00231C05">
        <w:rPr>
          <w:rFonts w:cs="Times New Roman"/>
          <w:szCs w:val="26"/>
        </w:rPr>
        <w:t>(1)</w:t>
      </w:r>
      <w:r w:rsidRPr="00231C05">
        <w:rPr>
          <w:rFonts w:cs="Times New Roman"/>
          <w:szCs w:val="26"/>
        </w:rPr>
        <w:tab/>
        <w:t>Positions of the Parties</w:t>
      </w:r>
      <w:bookmarkEnd w:id="278"/>
      <w:bookmarkEnd w:id="279"/>
    </w:p>
    <w:p w:rsidR="00570386" w:rsidRPr="00231C05" w:rsidRDefault="00570386" w:rsidP="00570386">
      <w:pPr>
        <w:rPr>
          <w:sz w:val="26"/>
          <w:szCs w:val="26"/>
        </w:rPr>
      </w:pPr>
    </w:p>
    <w:p w:rsidR="00570386" w:rsidRDefault="00570386" w:rsidP="00570386">
      <w:pPr>
        <w:spacing w:line="360" w:lineRule="auto"/>
        <w:rPr>
          <w:sz w:val="26"/>
          <w:szCs w:val="26"/>
        </w:rPr>
      </w:pPr>
      <w:r w:rsidRPr="00231C05">
        <w:rPr>
          <w:b/>
          <w:sz w:val="26"/>
          <w:szCs w:val="26"/>
        </w:rPr>
        <w:tab/>
      </w:r>
      <w:r w:rsidRPr="00231C05">
        <w:rPr>
          <w:sz w:val="26"/>
          <w:szCs w:val="26"/>
        </w:rPr>
        <w:tab/>
        <w:t xml:space="preserve">The Commission’s </w:t>
      </w:r>
      <w:r w:rsidRPr="00231C05">
        <w:rPr>
          <w:i/>
          <w:sz w:val="26"/>
          <w:szCs w:val="26"/>
        </w:rPr>
        <w:t xml:space="preserve">Implementation </w:t>
      </w:r>
      <w:r w:rsidRPr="003271CA">
        <w:rPr>
          <w:i/>
          <w:sz w:val="26"/>
          <w:szCs w:val="26"/>
        </w:rPr>
        <w:t>Order</w:t>
      </w:r>
      <w:r w:rsidRPr="00231C05">
        <w:rPr>
          <w:sz w:val="26"/>
          <w:szCs w:val="26"/>
        </w:rPr>
        <w:t xml:space="preserve"> sets forth a procedure for </w:t>
      </w:r>
      <w:r>
        <w:rPr>
          <w:sz w:val="26"/>
          <w:szCs w:val="26"/>
        </w:rPr>
        <w:t xml:space="preserve">proposing and </w:t>
      </w:r>
      <w:r w:rsidRPr="00231C05">
        <w:rPr>
          <w:sz w:val="26"/>
          <w:szCs w:val="26"/>
        </w:rPr>
        <w:t>reviewi</w:t>
      </w:r>
      <w:r>
        <w:rPr>
          <w:sz w:val="26"/>
          <w:szCs w:val="26"/>
        </w:rPr>
        <w:t>ng an EDC’s conservation service provider</w:t>
      </w:r>
      <w:r w:rsidRPr="00231C05">
        <w:rPr>
          <w:sz w:val="26"/>
          <w:szCs w:val="26"/>
        </w:rPr>
        <w:t xml:space="preserve"> bidding process.  Among the criteria listed therein is one to: “[e]ncourage efforts to acquire bids from ‘disadvantaged businesses’ (</w:t>
      </w:r>
      <w:r w:rsidRPr="00231C05">
        <w:rPr>
          <w:i/>
          <w:sz w:val="26"/>
          <w:szCs w:val="26"/>
        </w:rPr>
        <w:t>i.e.</w:t>
      </w:r>
      <w:r w:rsidRPr="00231C05">
        <w:rPr>
          <w:sz w:val="26"/>
          <w:szCs w:val="26"/>
        </w:rPr>
        <w:t xml:space="preserve">, minority-owned, women-owned, persons-with-disability-owned, small companies, companies located in Enterprise Zones, and similar entities) consistent with the Commission’s Policy Statements at 52 Pa. Code §§ 69.804, 69.807 and 69.808.”  </w:t>
      </w:r>
      <w:r w:rsidRPr="00231C05">
        <w:rPr>
          <w:i/>
          <w:sz w:val="26"/>
          <w:szCs w:val="26"/>
        </w:rPr>
        <w:t>Implementation Order</w:t>
      </w:r>
      <w:r w:rsidRPr="00231C05">
        <w:rPr>
          <w:sz w:val="26"/>
          <w:szCs w:val="26"/>
        </w:rPr>
        <w:t xml:space="preserve"> at 25-26.</w:t>
      </w:r>
    </w:p>
    <w:p w:rsidR="00570386" w:rsidRPr="00231C05" w:rsidRDefault="00570386" w:rsidP="00570386">
      <w:pPr>
        <w:spacing w:line="360" w:lineRule="auto"/>
        <w:rPr>
          <w:sz w:val="26"/>
          <w:szCs w:val="26"/>
        </w:rPr>
      </w:pPr>
    </w:p>
    <w:p w:rsidR="00570386" w:rsidRPr="00231C05" w:rsidRDefault="00570386" w:rsidP="00570386">
      <w:pPr>
        <w:spacing w:line="360" w:lineRule="auto"/>
        <w:ind w:firstLine="1440"/>
        <w:rPr>
          <w:sz w:val="26"/>
          <w:szCs w:val="26"/>
        </w:rPr>
      </w:pPr>
      <w:r w:rsidRPr="00231C05">
        <w:rPr>
          <w:sz w:val="26"/>
          <w:szCs w:val="26"/>
        </w:rPr>
        <w:t>ClearChoice asserts that FirstEnergy has not indicated how it will encourage participation by disadvantaged businesses in its demand response program.  ClearCho</w:t>
      </w:r>
      <w:r>
        <w:rPr>
          <w:sz w:val="26"/>
          <w:szCs w:val="26"/>
        </w:rPr>
        <w:t>ice also argues that requiring c</w:t>
      </w:r>
      <w:r w:rsidRPr="00231C05">
        <w:rPr>
          <w:sz w:val="26"/>
          <w:szCs w:val="26"/>
        </w:rPr>
        <w:t xml:space="preserve">urtailment </w:t>
      </w:r>
      <w:r>
        <w:rPr>
          <w:sz w:val="26"/>
          <w:szCs w:val="26"/>
        </w:rPr>
        <w:t>service providers</w:t>
      </w:r>
      <w:r w:rsidRPr="00231C05">
        <w:rPr>
          <w:sz w:val="26"/>
          <w:szCs w:val="26"/>
        </w:rPr>
        <w:t xml:space="preserve"> to post collateral or provide third party guarantees will significantly impede disadvantaged businesses.   ClearChoice recommends that 25% of demand response load be set aside for contract</w:t>
      </w:r>
      <w:r w:rsidR="00790D65">
        <w:rPr>
          <w:sz w:val="26"/>
          <w:szCs w:val="26"/>
        </w:rPr>
        <w:t>s</w:t>
      </w:r>
      <w:r w:rsidRPr="00231C05">
        <w:rPr>
          <w:sz w:val="26"/>
          <w:szCs w:val="26"/>
        </w:rPr>
        <w:t xml:space="preserve"> with disadvantaged businesses, with the proviso that disadvantaged businesses will not have to post collateral or provide third party guarantees to participate in the program.  ClearChoice MB at 13-14.  </w:t>
      </w:r>
    </w:p>
    <w:p w:rsidR="00570386" w:rsidRPr="00231C05" w:rsidRDefault="00570386" w:rsidP="00570386">
      <w:pPr>
        <w:spacing w:line="360" w:lineRule="auto"/>
        <w:ind w:left="360"/>
        <w:rPr>
          <w:sz w:val="26"/>
          <w:szCs w:val="26"/>
        </w:rPr>
      </w:pPr>
    </w:p>
    <w:p w:rsidR="00570386" w:rsidRPr="00231C05" w:rsidRDefault="00570386" w:rsidP="00570386">
      <w:pPr>
        <w:spacing w:line="360" w:lineRule="auto"/>
        <w:ind w:firstLine="1440"/>
        <w:rPr>
          <w:sz w:val="26"/>
          <w:szCs w:val="26"/>
        </w:rPr>
      </w:pPr>
      <w:r w:rsidRPr="00231C05">
        <w:rPr>
          <w:sz w:val="26"/>
          <w:szCs w:val="26"/>
        </w:rPr>
        <w:t xml:space="preserve">EnerNOC opposes ClearChoice’s recommendation.   In EnerNOC’s opinion, setting aside any percentage of a program to a company that ultimately admits that it will not be able to make payment on penalties for non-performance would not be a prudent or reasonable business decision on the EDC’s behalf.   EnerNOC RB at 12.  </w:t>
      </w:r>
    </w:p>
    <w:p w:rsidR="00570386" w:rsidRPr="00231C05" w:rsidRDefault="00570386" w:rsidP="00570386">
      <w:pPr>
        <w:spacing w:line="360" w:lineRule="auto"/>
        <w:ind w:firstLine="1440"/>
        <w:rPr>
          <w:sz w:val="26"/>
          <w:szCs w:val="26"/>
        </w:rPr>
      </w:pPr>
    </w:p>
    <w:p w:rsidR="00570386" w:rsidRPr="00231C05" w:rsidRDefault="00570386" w:rsidP="00570386">
      <w:pPr>
        <w:spacing w:line="360" w:lineRule="auto"/>
        <w:ind w:firstLine="1440"/>
        <w:rPr>
          <w:sz w:val="26"/>
          <w:szCs w:val="26"/>
        </w:rPr>
      </w:pPr>
      <w:r w:rsidRPr="00231C05">
        <w:rPr>
          <w:sz w:val="26"/>
          <w:szCs w:val="26"/>
        </w:rPr>
        <w:t xml:space="preserve">FirstEnergy disagrees with ClearChoice’s recommendation.  FirstEnergy states that it maintains a proactive supplier diversity program as an extension of its commitment to promote diversity at every level of the organization.  FirstEnergy further states that its diversity program provides opportunity for all manner of disadvantaged businesses in accordance with the Commission’s Policy Statement at 52 Pa. Code </w:t>
      </w:r>
      <w:r w:rsidRPr="00231C05">
        <w:rPr>
          <w:sz w:val="26"/>
          <w:szCs w:val="26"/>
        </w:rPr>
        <w:br/>
        <w:t>§§ 69.804, 69.807 and 69.808.  FirstEnergy believes that it would not be prudent to ado</w:t>
      </w:r>
      <w:r>
        <w:rPr>
          <w:sz w:val="26"/>
          <w:szCs w:val="26"/>
        </w:rPr>
        <w:t>pt ClearChoice’s recommendation without some assurance f</w:t>
      </w:r>
      <w:r w:rsidRPr="00231C05">
        <w:rPr>
          <w:sz w:val="26"/>
          <w:szCs w:val="26"/>
        </w:rPr>
        <w:t>r</w:t>
      </w:r>
      <w:r>
        <w:rPr>
          <w:sz w:val="26"/>
          <w:szCs w:val="26"/>
        </w:rPr>
        <w:t>o</w:t>
      </w:r>
      <w:r w:rsidRPr="00231C05">
        <w:rPr>
          <w:sz w:val="26"/>
          <w:szCs w:val="26"/>
        </w:rPr>
        <w:t>m the Commission that, if such small business</w:t>
      </w:r>
      <w:r>
        <w:rPr>
          <w:sz w:val="26"/>
          <w:szCs w:val="26"/>
        </w:rPr>
        <w:t>es</w:t>
      </w:r>
      <w:r w:rsidRPr="00231C05">
        <w:rPr>
          <w:sz w:val="26"/>
          <w:szCs w:val="26"/>
        </w:rPr>
        <w:t xml:space="preserve"> fail to perform or to pay participants, Met Ed and/or Penelec would not be penalized.  FirstEnergy RB at 39.    </w:t>
      </w:r>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80" w:name="_Toc242690885"/>
      <w:bookmarkStart w:id="281" w:name="_Toc244499406"/>
      <w:r w:rsidRPr="00231C05">
        <w:rPr>
          <w:rFonts w:cs="Times New Roman"/>
          <w:szCs w:val="26"/>
        </w:rPr>
        <w:t>(2)</w:t>
      </w:r>
      <w:r w:rsidRPr="00231C05">
        <w:rPr>
          <w:rFonts w:cs="Times New Roman"/>
          <w:szCs w:val="26"/>
        </w:rPr>
        <w:tab/>
        <w:t>Disposition</w:t>
      </w:r>
      <w:bookmarkEnd w:id="280"/>
      <w:bookmarkEnd w:id="281"/>
    </w:p>
    <w:p w:rsidR="00570386" w:rsidRPr="00231C05" w:rsidRDefault="00570386" w:rsidP="00570386">
      <w:pPr>
        <w:pStyle w:val="Heading5"/>
        <w:rPr>
          <w:rFonts w:cs="Times New Roman"/>
          <w:szCs w:val="26"/>
        </w:rPr>
      </w:pPr>
      <w:r w:rsidRPr="00231C05">
        <w:rPr>
          <w:rFonts w:eastAsia="Times New Roman" w:cs="Times New Roman"/>
          <w:szCs w:val="26"/>
        </w:rPr>
        <w:tab/>
      </w:r>
      <w:r w:rsidRPr="00231C05">
        <w:rPr>
          <w:rFonts w:eastAsia="Times New Roman" w:cs="Times New Roman"/>
          <w:szCs w:val="26"/>
        </w:rPr>
        <w:tab/>
      </w:r>
    </w:p>
    <w:p w:rsidR="00570386" w:rsidRPr="00231C05" w:rsidRDefault="00570386" w:rsidP="00570386">
      <w:pPr>
        <w:spacing w:line="360" w:lineRule="auto"/>
        <w:ind w:firstLine="1440"/>
        <w:rPr>
          <w:sz w:val="26"/>
          <w:szCs w:val="26"/>
        </w:rPr>
      </w:pPr>
      <w:r w:rsidRPr="00231C05">
        <w:rPr>
          <w:sz w:val="26"/>
          <w:szCs w:val="26"/>
        </w:rPr>
        <w:t xml:space="preserve">As noted above, we made it clear in our </w:t>
      </w:r>
      <w:r w:rsidRPr="00231C05">
        <w:rPr>
          <w:i/>
          <w:sz w:val="26"/>
          <w:szCs w:val="26"/>
        </w:rPr>
        <w:t>Implementation Order</w:t>
      </w:r>
      <w:r w:rsidRPr="00231C05">
        <w:rPr>
          <w:sz w:val="26"/>
          <w:szCs w:val="26"/>
        </w:rPr>
        <w:t xml:space="preserve"> that EDCs shall encourage participation in bidding from disadvantaged businesses, consistent with the Commission’s Policy Statement.  However, the Commission did not require a quota for disadvantaged businesses.  Furthermore, FirstEnergy already has a proactive supplier diversity program for disadvantaged businesses.  From our review of the record, we find no justification for ClearChoice’s disadvantaged business quota proposal.  Accordingly, we shall reject it.</w:t>
      </w:r>
    </w:p>
    <w:p w:rsidR="00570386" w:rsidRPr="00231C05" w:rsidRDefault="00570386" w:rsidP="00570386">
      <w:pPr>
        <w:spacing w:line="360" w:lineRule="auto"/>
        <w:ind w:firstLine="1440"/>
        <w:rPr>
          <w:sz w:val="26"/>
          <w:szCs w:val="26"/>
        </w:rPr>
      </w:pPr>
    </w:p>
    <w:p w:rsidR="00DB2822" w:rsidRDefault="00DB2822">
      <w:pPr>
        <w:spacing w:after="200" w:line="276" w:lineRule="auto"/>
        <w:rPr>
          <w:rFonts w:eastAsiaTheme="majorEastAsia"/>
          <w:b/>
          <w:bCs/>
          <w:sz w:val="26"/>
          <w:szCs w:val="26"/>
        </w:rPr>
      </w:pPr>
      <w:bookmarkStart w:id="282" w:name="_Toc242516326"/>
      <w:bookmarkStart w:id="283" w:name="_Toc242690886"/>
      <w:r>
        <w:rPr>
          <w:szCs w:val="26"/>
        </w:rPr>
        <w:br w:type="page"/>
      </w:r>
    </w:p>
    <w:p w:rsidR="00570386" w:rsidRPr="00231C05" w:rsidRDefault="00570386" w:rsidP="00570386">
      <w:pPr>
        <w:pStyle w:val="Heading3"/>
        <w:rPr>
          <w:rFonts w:cs="Times New Roman"/>
          <w:szCs w:val="26"/>
        </w:rPr>
      </w:pPr>
      <w:bookmarkStart w:id="284" w:name="_Toc244499407"/>
      <w:r w:rsidRPr="00231C05">
        <w:rPr>
          <w:rFonts w:cs="Times New Roman"/>
          <w:szCs w:val="26"/>
        </w:rPr>
        <w:lastRenderedPageBreak/>
        <w:t xml:space="preserve">3. </w:t>
      </w:r>
      <w:r w:rsidRPr="00231C05">
        <w:rPr>
          <w:rFonts w:cs="Times New Roman"/>
          <w:szCs w:val="26"/>
        </w:rPr>
        <w:tab/>
      </w:r>
      <w:r>
        <w:rPr>
          <w:rFonts w:cs="Times New Roman"/>
          <w:szCs w:val="26"/>
        </w:rPr>
        <w:t xml:space="preserve">Issues </w:t>
      </w:r>
      <w:r w:rsidR="0052113D">
        <w:rPr>
          <w:rFonts w:cs="Times New Roman"/>
          <w:szCs w:val="26"/>
        </w:rPr>
        <w:t>P</w:t>
      </w:r>
      <w:r>
        <w:rPr>
          <w:rFonts w:cs="Times New Roman"/>
          <w:szCs w:val="26"/>
        </w:rPr>
        <w:t>ertain</w:t>
      </w:r>
      <w:r w:rsidR="0052113D">
        <w:rPr>
          <w:rFonts w:cs="Times New Roman"/>
          <w:szCs w:val="26"/>
        </w:rPr>
        <w:t>ing</w:t>
      </w:r>
      <w:r>
        <w:rPr>
          <w:rFonts w:cs="Times New Roman"/>
          <w:szCs w:val="26"/>
        </w:rPr>
        <w:t xml:space="preserve"> </w:t>
      </w:r>
      <w:r w:rsidR="00FD0201">
        <w:rPr>
          <w:rFonts w:cs="Times New Roman"/>
          <w:szCs w:val="26"/>
        </w:rPr>
        <w:t xml:space="preserve">only </w:t>
      </w:r>
      <w:r>
        <w:rPr>
          <w:rFonts w:cs="Times New Roman"/>
          <w:szCs w:val="26"/>
        </w:rPr>
        <w:t xml:space="preserve">to </w:t>
      </w:r>
      <w:r w:rsidRPr="00231C05">
        <w:rPr>
          <w:rFonts w:cs="Times New Roman"/>
          <w:szCs w:val="26"/>
        </w:rPr>
        <w:t>Penn Power</w:t>
      </w:r>
      <w:bookmarkEnd w:id="282"/>
      <w:bookmarkEnd w:id="283"/>
      <w:bookmarkEnd w:id="284"/>
      <w:r w:rsidRPr="00231C05">
        <w:rPr>
          <w:rFonts w:cs="Times New Roman"/>
          <w:szCs w:val="26"/>
        </w:rPr>
        <w:t xml:space="preserve"> </w:t>
      </w:r>
    </w:p>
    <w:p w:rsidR="00570386" w:rsidRPr="00231C05" w:rsidRDefault="00570386" w:rsidP="00570386">
      <w:pPr>
        <w:rPr>
          <w:sz w:val="26"/>
          <w:szCs w:val="26"/>
        </w:rPr>
      </w:pPr>
    </w:p>
    <w:p w:rsidR="00570386" w:rsidRPr="00231C05" w:rsidRDefault="00570386" w:rsidP="00570386">
      <w:pPr>
        <w:pStyle w:val="Heading4"/>
        <w:spacing w:line="240" w:lineRule="auto"/>
        <w:ind w:left="2880" w:hanging="720"/>
        <w:rPr>
          <w:rFonts w:cs="Times New Roman"/>
          <w:szCs w:val="26"/>
        </w:rPr>
      </w:pPr>
      <w:bookmarkStart w:id="285" w:name="_Toc242516327"/>
      <w:bookmarkStart w:id="286" w:name="_Toc242690887"/>
      <w:bookmarkStart w:id="287" w:name="_Toc244499408"/>
      <w:r w:rsidRPr="00231C05">
        <w:rPr>
          <w:rFonts w:cs="Times New Roman"/>
          <w:szCs w:val="26"/>
        </w:rPr>
        <w:t>a</w:t>
      </w:r>
      <w:bookmarkEnd w:id="285"/>
      <w:r w:rsidR="0052113D">
        <w:rPr>
          <w:rFonts w:cs="Times New Roman"/>
          <w:szCs w:val="26"/>
        </w:rPr>
        <w:t>.</w:t>
      </w:r>
      <w:r w:rsidR="0052113D">
        <w:rPr>
          <w:rFonts w:cs="Times New Roman"/>
          <w:szCs w:val="26"/>
        </w:rPr>
        <w:tab/>
        <w:t>Penn Power’s Proposal to U</w:t>
      </w:r>
      <w:r w:rsidRPr="00231C05">
        <w:rPr>
          <w:rFonts w:cs="Times New Roman"/>
          <w:szCs w:val="26"/>
        </w:rPr>
        <w:t>se Electricity Gene</w:t>
      </w:r>
      <w:r>
        <w:rPr>
          <w:rFonts w:cs="Times New Roman"/>
          <w:szCs w:val="26"/>
        </w:rPr>
        <w:t>ration Suppliers</w:t>
      </w:r>
      <w:bookmarkEnd w:id="286"/>
      <w:bookmarkEnd w:id="287"/>
    </w:p>
    <w:p w:rsidR="00570386" w:rsidRPr="00231C05" w:rsidRDefault="00570386" w:rsidP="00570386">
      <w:pPr>
        <w:rPr>
          <w:sz w:val="26"/>
          <w:szCs w:val="26"/>
        </w:rPr>
      </w:pPr>
    </w:p>
    <w:p w:rsidR="00570386" w:rsidRPr="00231C05" w:rsidRDefault="00570386" w:rsidP="00570386">
      <w:pPr>
        <w:pStyle w:val="Heading5"/>
        <w:rPr>
          <w:rFonts w:cs="Times New Roman"/>
          <w:szCs w:val="26"/>
        </w:rPr>
      </w:pPr>
      <w:bookmarkStart w:id="288" w:name="_Toc242516328"/>
      <w:bookmarkStart w:id="289" w:name="_Toc242690888"/>
      <w:bookmarkStart w:id="290" w:name="_Toc244499409"/>
      <w:r w:rsidRPr="00231C05">
        <w:rPr>
          <w:rFonts w:cs="Times New Roman"/>
          <w:szCs w:val="26"/>
        </w:rPr>
        <w:t>(1)</w:t>
      </w:r>
      <w:r w:rsidRPr="00231C05">
        <w:rPr>
          <w:rFonts w:cs="Times New Roman"/>
          <w:szCs w:val="26"/>
        </w:rPr>
        <w:tab/>
        <w:t>Positions of the Parties</w:t>
      </w:r>
      <w:bookmarkEnd w:id="288"/>
      <w:bookmarkEnd w:id="289"/>
      <w:bookmarkEnd w:id="290"/>
    </w:p>
    <w:p w:rsidR="00570386" w:rsidRPr="00231C05" w:rsidRDefault="00570386" w:rsidP="00570386">
      <w:pPr>
        <w:rPr>
          <w:sz w:val="26"/>
          <w:szCs w:val="26"/>
        </w:rPr>
      </w:pPr>
    </w:p>
    <w:p w:rsidR="00570386" w:rsidRPr="00231C05" w:rsidRDefault="00570386" w:rsidP="00570386">
      <w:pPr>
        <w:spacing w:line="360" w:lineRule="auto"/>
        <w:rPr>
          <w:sz w:val="26"/>
          <w:szCs w:val="26"/>
        </w:rPr>
      </w:pPr>
      <w:r w:rsidRPr="00231C05">
        <w:rPr>
          <w:sz w:val="26"/>
          <w:szCs w:val="26"/>
        </w:rPr>
        <w:tab/>
      </w:r>
      <w:r w:rsidRPr="00231C05">
        <w:rPr>
          <w:sz w:val="26"/>
          <w:szCs w:val="26"/>
        </w:rPr>
        <w:tab/>
        <w:t>To implement its demand response program, Penn Power intends to enter into agreements with Electricity Generation Suppliers (EGSs) selected on a “first come first served” basis, up to the contracted MW of peak load reductions for annual performance periods.  Penn Power states that it will use the PJM protocol for Economic Load Response to measure implementation of the program – unless and until MISO adopts a demand response program.  Penn Power’s September 21, 2009 Plan at 71-75.</w:t>
      </w:r>
    </w:p>
    <w:p w:rsidR="00570386" w:rsidRPr="00231C05" w:rsidRDefault="00570386" w:rsidP="00570386">
      <w:pPr>
        <w:rPr>
          <w:sz w:val="26"/>
          <w:szCs w:val="26"/>
        </w:rPr>
      </w:pPr>
    </w:p>
    <w:p w:rsidR="00570386" w:rsidRPr="00231C05" w:rsidRDefault="00570386" w:rsidP="00570386">
      <w:pPr>
        <w:spacing w:line="360" w:lineRule="auto"/>
        <w:rPr>
          <w:sz w:val="26"/>
          <w:szCs w:val="26"/>
        </w:rPr>
      </w:pPr>
      <w:r>
        <w:rPr>
          <w:sz w:val="26"/>
          <w:szCs w:val="26"/>
        </w:rPr>
        <w:tab/>
      </w:r>
      <w:r>
        <w:rPr>
          <w:sz w:val="26"/>
          <w:szCs w:val="26"/>
        </w:rPr>
        <w:tab/>
      </w:r>
      <w:r w:rsidRPr="00231C05">
        <w:rPr>
          <w:sz w:val="26"/>
          <w:szCs w:val="26"/>
        </w:rPr>
        <w:t xml:space="preserve">EnerNOC submits </w:t>
      </w:r>
      <w:r>
        <w:rPr>
          <w:sz w:val="26"/>
          <w:szCs w:val="26"/>
        </w:rPr>
        <w:t>that the use of curtailment service provider</w:t>
      </w:r>
      <w:r w:rsidRPr="00231C05">
        <w:rPr>
          <w:sz w:val="26"/>
          <w:szCs w:val="26"/>
        </w:rPr>
        <w:t>s, rather than EGSs, would increase the likelihood of successful implementation of Penn Power’s demand response program.  EnerNOC argues that EGSs want to s</w:t>
      </w:r>
      <w:r>
        <w:rPr>
          <w:sz w:val="26"/>
          <w:szCs w:val="26"/>
        </w:rPr>
        <w:t>ell customers energy whereas curtailment service provider</w:t>
      </w:r>
      <w:r w:rsidRPr="00231C05">
        <w:rPr>
          <w:sz w:val="26"/>
          <w:szCs w:val="26"/>
        </w:rPr>
        <w:t>s look for ways to encourage customers to use less energy and get an incentive for doing so.  As such, the goals of an EGS are diametrically oppos</w:t>
      </w:r>
      <w:r>
        <w:rPr>
          <w:sz w:val="26"/>
          <w:szCs w:val="26"/>
        </w:rPr>
        <w:t>ed to those of a curtailment service provider</w:t>
      </w:r>
      <w:r w:rsidRPr="00231C05">
        <w:rPr>
          <w:sz w:val="26"/>
          <w:szCs w:val="26"/>
        </w:rPr>
        <w:t>.  EnerNOC MB at 17.</w:t>
      </w:r>
    </w:p>
    <w:p w:rsidR="00570386" w:rsidRPr="00231C05" w:rsidRDefault="00570386" w:rsidP="00570386">
      <w:pPr>
        <w:spacing w:line="360" w:lineRule="auto"/>
        <w:rPr>
          <w:sz w:val="26"/>
          <w:szCs w:val="26"/>
        </w:rPr>
      </w:pPr>
    </w:p>
    <w:p w:rsidR="00570386" w:rsidRDefault="00570386" w:rsidP="00570386">
      <w:pPr>
        <w:spacing w:line="360" w:lineRule="auto"/>
        <w:rPr>
          <w:sz w:val="26"/>
          <w:szCs w:val="26"/>
        </w:rPr>
      </w:pPr>
      <w:r w:rsidRPr="00231C05">
        <w:rPr>
          <w:sz w:val="26"/>
          <w:szCs w:val="26"/>
        </w:rPr>
        <w:tab/>
      </w:r>
      <w:r w:rsidRPr="00231C05">
        <w:rPr>
          <w:sz w:val="26"/>
          <w:szCs w:val="26"/>
        </w:rPr>
        <w:tab/>
        <w:t>FirstEnergy responds that, since Penn Power is currently a member of MISO, which does not recognize the</w:t>
      </w:r>
      <w:r>
        <w:rPr>
          <w:sz w:val="26"/>
          <w:szCs w:val="26"/>
        </w:rPr>
        <w:t xml:space="preserve"> concept of a curtailment service provider</w:t>
      </w:r>
      <w:r w:rsidRPr="00231C05">
        <w:rPr>
          <w:sz w:val="26"/>
          <w:szCs w:val="26"/>
        </w:rPr>
        <w:t>, EnerNOC’s suggestion is impossible to pursue.  FirstEnergy MB at 51.  If Penn Power joins PJM, FirstEnergy asserts that Penn Power will consider modifying its demand response program to mirror those of Met Ed and Penelec.  FirstEnergy MB at 52.</w:t>
      </w:r>
    </w:p>
    <w:p w:rsidR="001A1F1E" w:rsidRPr="00231C05" w:rsidRDefault="001A1F1E" w:rsidP="00570386">
      <w:pPr>
        <w:spacing w:line="360" w:lineRule="auto"/>
        <w:rPr>
          <w:b/>
          <w:sz w:val="26"/>
          <w:szCs w:val="26"/>
        </w:rPr>
      </w:pPr>
    </w:p>
    <w:p w:rsidR="00570386" w:rsidRPr="00231C05" w:rsidRDefault="00570386" w:rsidP="00570386">
      <w:pPr>
        <w:pStyle w:val="Heading5"/>
        <w:rPr>
          <w:rFonts w:cs="Times New Roman"/>
          <w:szCs w:val="26"/>
        </w:rPr>
      </w:pPr>
      <w:bookmarkStart w:id="291" w:name="_Toc242516329"/>
      <w:bookmarkStart w:id="292" w:name="_Toc242690889"/>
      <w:bookmarkStart w:id="293" w:name="_Toc244499410"/>
      <w:r w:rsidRPr="00231C05">
        <w:rPr>
          <w:rFonts w:cs="Times New Roman"/>
          <w:szCs w:val="26"/>
        </w:rPr>
        <w:t>(2)</w:t>
      </w:r>
      <w:r w:rsidRPr="00231C05">
        <w:rPr>
          <w:rFonts w:cs="Times New Roman"/>
          <w:szCs w:val="26"/>
        </w:rPr>
        <w:tab/>
        <w:t>Disposition</w:t>
      </w:r>
      <w:bookmarkEnd w:id="291"/>
      <w:bookmarkEnd w:id="292"/>
      <w:bookmarkEnd w:id="293"/>
    </w:p>
    <w:p w:rsidR="00570386" w:rsidRPr="00231C05" w:rsidRDefault="00570386" w:rsidP="00570386">
      <w:pPr>
        <w:spacing w:line="360" w:lineRule="auto"/>
        <w:ind w:firstLine="1440"/>
        <w:rPr>
          <w:sz w:val="26"/>
          <w:szCs w:val="26"/>
        </w:rPr>
      </w:pPr>
    </w:p>
    <w:p w:rsidR="00570386" w:rsidRDefault="00F524CF" w:rsidP="00F524C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 xml:space="preserve">We will reject Penn Power’s proposal to use </w:t>
      </w:r>
      <w:r w:rsidR="00A04F57">
        <w:rPr>
          <w:sz w:val="26"/>
          <w:szCs w:val="26"/>
        </w:rPr>
        <w:t xml:space="preserve">only </w:t>
      </w:r>
      <w:r>
        <w:rPr>
          <w:sz w:val="26"/>
          <w:szCs w:val="26"/>
        </w:rPr>
        <w:t>EGSs to implement its demand r</w:t>
      </w:r>
      <w:r w:rsidR="00896B35">
        <w:rPr>
          <w:sz w:val="26"/>
          <w:szCs w:val="26"/>
        </w:rPr>
        <w:t xml:space="preserve">esponse program.  This Commission favors an inclusive policy regarding the </w:t>
      </w:r>
      <w:r w:rsidR="00896B35">
        <w:rPr>
          <w:sz w:val="26"/>
          <w:szCs w:val="26"/>
        </w:rPr>
        <w:lastRenderedPageBreak/>
        <w:t xml:space="preserve">types of entities that can serve as demand response providers.  </w:t>
      </w:r>
      <w:r w:rsidR="009D04EC">
        <w:rPr>
          <w:sz w:val="26"/>
          <w:szCs w:val="26"/>
        </w:rPr>
        <w:t xml:space="preserve">The fact that MISO does not recognize the concept of a curtailment service provider does not explain why Penn Power’s program cannot be open to a wide spectrum of conservation service providers, as that term is defined in Act 129.  </w:t>
      </w:r>
      <w:r w:rsidR="00896B35">
        <w:rPr>
          <w:sz w:val="26"/>
          <w:szCs w:val="26"/>
        </w:rPr>
        <w:t>We will therefore direct Penn Power to revise its Plan to make its demand response program open to conservation service providers</w:t>
      </w:r>
      <w:r w:rsidR="001D2277">
        <w:rPr>
          <w:sz w:val="26"/>
          <w:szCs w:val="26"/>
        </w:rPr>
        <w:t>.</w:t>
      </w:r>
      <w:r w:rsidR="00512007">
        <w:rPr>
          <w:rStyle w:val="FootnoteReference"/>
          <w:sz w:val="26"/>
          <w:szCs w:val="26"/>
        </w:rPr>
        <w:footnoteReference w:id="37"/>
      </w:r>
      <w:r>
        <w:rPr>
          <w:sz w:val="26"/>
          <w:szCs w:val="26"/>
        </w:rPr>
        <w:t xml:space="preserve"> </w:t>
      </w:r>
    </w:p>
    <w:p w:rsidR="00896B35" w:rsidRDefault="00896B35" w:rsidP="00F524C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E26A1" w:rsidRPr="00352094" w:rsidRDefault="00B6382E" w:rsidP="00940B59">
      <w:pPr>
        <w:pStyle w:val="Heading2"/>
      </w:pPr>
      <w:bookmarkStart w:id="294" w:name="_Toc242516334"/>
      <w:bookmarkStart w:id="295" w:name="_Toc244499411"/>
      <w:r>
        <w:t xml:space="preserve">D.  </w:t>
      </w:r>
      <w:r w:rsidR="006F4B78">
        <w:tab/>
      </w:r>
      <w:r w:rsidR="009E26A1" w:rsidRPr="00352094">
        <w:t>Implementation and Evaluation Issues</w:t>
      </w:r>
      <w:bookmarkEnd w:id="294"/>
      <w:bookmarkEnd w:id="295"/>
    </w:p>
    <w:p w:rsidR="009E26A1" w:rsidRDefault="009E26A1" w:rsidP="009E26A1">
      <w:pPr>
        <w:spacing w:line="360" w:lineRule="auto"/>
        <w:ind w:firstLine="720"/>
        <w:rPr>
          <w:sz w:val="26"/>
          <w:szCs w:val="26"/>
        </w:rPr>
      </w:pPr>
    </w:p>
    <w:p w:rsidR="009E26A1" w:rsidRPr="00352094" w:rsidRDefault="00B6382E" w:rsidP="00940B59">
      <w:pPr>
        <w:pStyle w:val="Heading3"/>
      </w:pPr>
      <w:bookmarkStart w:id="296" w:name="_Toc242516335"/>
      <w:bookmarkStart w:id="297" w:name="_Toc244499412"/>
      <w:r>
        <w:t xml:space="preserve">1.  </w:t>
      </w:r>
      <w:r w:rsidR="006F4B78">
        <w:tab/>
      </w:r>
      <w:r w:rsidR="009E26A1" w:rsidRPr="00352094">
        <w:t>Implementation Issues</w:t>
      </w:r>
      <w:bookmarkEnd w:id="296"/>
      <w:bookmarkEnd w:id="297"/>
    </w:p>
    <w:p w:rsidR="004177CF" w:rsidRDefault="004177CF" w:rsidP="004177CF">
      <w:pPr>
        <w:spacing w:line="360" w:lineRule="auto"/>
        <w:ind w:firstLine="2160"/>
        <w:rPr>
          <w:b/>
          <w:sz w:val="26"/>
          <w:szCs w:val="26"/>
        </w:rPr>
      </w:pPr>
    </w:p>
    <w:p w:rsidR="00747C9D" w:rsidRDefault="00747C9D" w:rsidP="00747C9D">
      <w:pPr>
        <w:spacing w:line="360" w:lineRule="auto"/>
        <w:ind w:firstLine="1440"/>
        <w:rPr>
          <w:sz w:val="26"/>
          <w:szCs w:val="26"/>
        </w:rPr>
      </w:pPr>
      <w:r w:rsidRPr="00747C9D">
        <w:rPr>
          <w:sz w:val="26"/>
          <w:szCs w:val="26"/>
        </w:rPr>
        <w:t xml:space="preserve">An EDC’s plan shall state the manner in which the plan will achieve the requirements of the </w:t>
      </w:r>
      <w:r>
        <w:rPr>
          <w:sz w:val="26"/>
          <w:szCs w:val="26"/>
        </w:rPr>
        <w:t>Commission’s P</w:t>
      </w:r>
      <w:r w:rsidRPr="00747C9D">
        <w:rPr>
          <w:sz w:val="26"/>
          <w:szCs w:val="26"/>
        </w:rPr>
        <w:t xml:space="preserve">rogram and will achieve or exceed the required reductions in consumption under subsections (c) and (d).  66 Pa. C.S. </w:t>
      </w:r>
      <w:r>
        <w:rPr>
          <w:sz w:val="26"/>
          <w:szCs w:val="26"/>
        </w:rPr>
        <w:br/>
      </w:r>
      <w:r w:rsidRPr="00747C9D">
        <w:rPr>
          <w:sz w:val="26"/>
          <w:szCs w:val="26"/>
        </w:rPr>
        <w:t>§ 2806.1(b)</w:t>
      </w:r>
      <w:r>
        <w:rPr>
          <w:sz w:val="26"/>
          <w:szCs w:val="26"/>
        </w:rPr>
        <w:t>(1)(i)</w:t>
      </w:r>
      <w:r w:rsidRPr="00747C9D">
        <w:rPr>
          <w:sz w:val="26"/>
          <w:szCs w:val="26"/>
        </w:rPr>
        <w:t>(D).</w:t>
      </w:r>
    </w:p>
    <w:p w:rsidR="00440771" w:rsidRDefault="00440771" w:rsidP="00747C9D">
      <w:pPr>
        <w:spacing w:line="360" w:lineRule="auto"/>
        <w:ind w:firstLine="1440"/>
        <w:rPr>
          <w:sz w:val="26"/>
          <w:szCs w:val="26"/>
        </w:rPr>
      </w:pPr>
    </w:p>
    <w:p w:rsidR="00440771" w:rsidRPr="00D335BC" w:rsidRDefault="00440771" w:rsidP="00440771">
      <w:pPr>
        <w:spacing w:line="360" w:lineRule="auto"/>
        <w:ind w:firstLine="1440"/>
        <w:rPr>
          <w:sz w:val="26"/>
          <w:szCs w:val="26"/>
        </w:rPr>
      </w:pPr>
      <w:r w:rsidRPr="00440771">
        <w:rPr>
          <w:sz w:val="26"/>
          <w:szCs w:val="26"/>
        </w:rPr>
        <w:t xml:space="preserve">Procedures to ensure compliance with consumption reduction requirements are set forth in the </w:t>
      </w:r>
      <w:r w:rsidRPr="00440771">
        <w:rPr>
          <w:i/>
          <w:sz w:val="26"/>
          <w:szCs w:val="26"/>
        </w:rPr>
        <w:t>Implementation Order</w:t>
      </w:r>
      <w:r w:rsidRPr="00440771">
        <w:rPr>
          <w:sz w:val="26"/>
          <w:szCs w:val="26"/>
        </w:rPr>
        <w:t xml:space="preserve">.  The Commission will assess the program as a </w:t>
      </w:r>
      <w:r>
        <w:rPr>
          <w:sz w:val="26"/>
          <w:szCs w:val="26"/>
        </w:rPr>
        <w:t>whole and the individual EDC’s p</w:t>
      </w:r>
      <w:r w:rsidRPr="00440771">
        <w:rPr>
          <w:sz w:val="26"/>
          <w:szCs w:val="26"/>
        </w:rPr>
        <w:t xml:space="preserve">lan for effectiveness in meeting or exceeding the Act’s mandatory savings through the initial review process.   In addition, the Commission will assess the program and individual plan effectiveness during the annual report review process.  </w:t>
      </w:r>
      <w:r w:rsidRPr="00440771">
        <w:rPr>
          <w:i/>
          <w:sz w:val="26"/>
          <w:szCs w:val="26"/>
        </w:rPr>
        <w:t xml:space="preserve">Implementation Order </w:t>
      </w:r>
      <w:r w:rsidRPr="00D335BC">
        <w:rPr>
          <w:sz w:val="26"/>
          <w:szCs w:val="26"/>
        </w:rPr>
        <w:t xml:space="preserve">at 27-31. </w:t>
      </w:r>
    </w:p>
    <w:p w:rsidR="00440771" w:rsidRPr="00747C9D" w:rsidRDefault="00440771" w:rsidP="00747C9D">
      <w:pPr>
        <w:spacing w:line="360" w:lineRule="auto"/>
        <w:ind w:firstLine="1440"/>
        <w:rPr>
          <w:sz w:val="26"/>
          <w:szCs w:val="26"/>
        </w:rPr>
      </w:pPr>
    </w:p>
    <w:p w:rsidR="004177CF" w:rsidRPr="008E7C8E" w:rsidRDefault="004177CF" w:rsidP="00747C9D">
      <w:pPr>
        <w:pStyle w:val="Heading4"/>
      </w:pPr>
      <w:bookmarkStart w:id="298" w:name="_Toc242516336"/>
      <w:bookmarkStart w:id="299" w:name="_Toc244499413"/>
      <w:r>
        <w:t>a.</w:t>
      </w:r>
      <w:r w:rsidR="00B6382E">
        <w:t xml:space="preserve">  </w:t>
      </w:r>
      <w:r w:rsidR="006F4B78">
        <w:tab/>
      </w:r>
      <w:r w:rsidRPr="008E7C8E">
        <w:t>Positions of the Parties</w:t>
      </w:r>
      <w:bookmarkEnd w:id="298"/>
      <w:bookmarkEnd w:id="299"/>
    </w:p>
    <w:p w:rsidR="004177CF" w:rsidRPr="00747C9D" w:rsidRDefault="004177CF" w:rsidP="00747C9D">
      <w:pPr>
        <w:spacing w:line="360" w:lineRule="auto"/>
        <w:ind w:firstLine="2880"/>
        <w:rPr>
          <w:sz w:val="26"/>
          <w:szCs w:val="26"/>
        </w:rPr>
      </w:pPr>
    </w:p>
    <w:p w:rsidR="0039380C" w:rsidRDefault="00747C9D" w:rsidP="00747C9D">
      <w:pPr>
        <w:spacing w:line="360" w:lineRule="auto"/>
        <w:rPr>
          <w:sz w:val="26"/>
          <w:szCs w:val="26"/>
        </w:rPr>
      </w:pPr>
      <w:r w:rsidRPr="00747C9D">
        <w:rPr>
          <w:sz w:val="26"/>
          <w:szCs w:val="26"/>
        </w:rPr>
        <w:tab/>
      </w:r>
      <w:r w:rsidRPr="00747C9D">
        <w:rPr>
          <w:sz w:val="26"/>
          <w:szCs w:val="26"/>
        </w:rPr>
        <w:tab/>
        <w:t>The Companies</w:t>
      </w:r>
      <w:r w:rsidR="005D3A98">
        <w:rPr>
          <w:sz w:val="26"/>
          <w:szCs w:val="26"/>
        </w:rPr>
        <w:t>’</w:t>
      </w:r>
      <w:r w:rsidRPr="00747C9D">
        <w:rPr>
          <w:sz w:val="26"/>
          <w:szCs w:val="26"/>
        </w:rPr>
        <w:t xml:space="preserve"> Program Management and Implementation Strategies are contained in Section 4 of their respective Plans.  This section </w:t>
      </w:r>
      <w:r w:rsidR="00B1311C">
        <w:rPr>
          <w:sz w:val="26"/>
          <w:szCs w:val="26"/>
        </w:rPr>
        <w:t xml:space="preserve">states that the Companies </w:t>
      </w:r>
      <w:r w:rsidR="00B1311C">
        <w:rPr>
          <w:sz w:val="26"/>
          <w:szCs w:val="26"/>
        </w:rPr>
        <w:lastRenderedPageBreak/>
        <w:t>will assume overall administration and oversight of the Plans</w:t>
      </w:r>
      <w:r w:rsidR="00D33C33">
        <w:rPr>
          <w:sz w:val="26"/>
          <w:szCs w:val="26"/>
        </w:rPr>
        <w:t xml:space="preserve"> but will contract with </w:t>
      </w:r>
      <w:r w:rsidRPr="00747C9D">
        <w:rPr>
          <w:sz w:val="26"/>
          <w:szCs w:val="26"/>
        </w:rPr>
        <w:t>consultant</w:t>
      </w:r>
      <w:r w:rsidR="004640C5">
        <w:rPr>
          <w:sz w:val="26"/>
          <w:szCs w:val="26"/>
        </w:rPr>
        <w:t>s</w:t>
      </w:r>
      <w:r w:rsidR="00824687">
        <w:rPr>
          <w:sz w:val="26"/>
          <w:szCs w:val="26"/>
        </w:rPr>
        <w:t>, trade allies and conservation service provider</w:t>
      </w:r>
      <w:r w:rsidRPr="00747C9D">
        <w:rPr>
          <w:sz w:val="26"/>
          <w:szCs w:val="26"/>
        </w:rPr>
        <w:t>s</w:t>
      </w:r>
      <w:r w:rsidR="00D33C33">
        <w:rPr>
          <w:sz w:val="26"/>
          <w:szCs w:val="26"/>
        </w:rPr>
        <w:t xml:space="preserve"> to implement certain parts of the Plans</w:t>
      </w:r>
      <w:r w:rsidR="00B1311C">
        <w:rPr>
          <w:sz w:val="26"/>
          <w:szCs w:val="26"/>
        </w:rPr>
        <w:t xml:space="preserve">.  </w:t>
      </w:r>
    </w:p>
    <w:p w:rsidR="0039380C" w:rsidRDefault="0039380C" w:rsidP="00747C9D">
      <w:pPr>
        <w:spacing w:line="360" w:lineRule="auto"/>
        <w:rPr>
          <w:sz w:val="26"/>
          <w:szCs w:val="26"/>
        </w:rPr>
      </w:pPr>
    </w:p>
    <w:p w:rsidR="00112041" w:rsidRDefault="0039380C" w:rsidP="003014CE">
      <w:pPr>
        <w:spacing w:line="360" w:lineRule="auto"/>
        <w:ind w:firstLine="1440"/>
        <w:rPr>
          <w:sz w:val="26"/>
          <w:szCs w:val="26"/>
        </w:rPr>
      </w:pPr>
      <w:r>
        <w:rPr>
          <w:sz w:val="26"/>
          <w:szCs w:val="26"/>
        </w:rPr>
        <w:t xml:space="preserve">The Parties raised no </w:t>
      </w:r>
      <w:r w:rsidR="005F0971">
        <w:rPr>
          <w:sz w:val="26"/>
          <w:szCs w:val="26"/>
        </w:rPr>
        <w:t xml:space="preserve">implementation </w:t>
      </w:r>
      <w:r>
        <w:rPr>
          <w:sz w:val="26"/>
          <w:szCs w:val="26"/>
        </w:rPr>
        <w:t xml:space="preserve">issues </w:t>
      </w:r>
      <w:r w:rsidR="005F0971">
        <w:rPr>
          <w:sz w:val="26"/>
          <w:szCs w:val="26"/>
        </w:rPr>
        <w:t>w</w:t>
      </w:r>
      <w:r>
        <w:rPr>
          <w:sz w:val="26"/>
          <w:szCs w:val="26"/>
        </w:rPr>
        <w:t xml:space="preserve">hich are not addressed elsewhere in this </w:t>
      </w:r>
      <w:r w:rsidR="003A5D24">
        <w:rPr>
          <w:sz w:val="26"/>
          <w:szCs w:val="26"/>
        </w:rPr>
        <w:t>Opinion and Order</w:t>
      </w:r>
      <w:r>
        <w:rPr>
          <w:sz w:val="26"/>
          <w:szCs w:val="26"/>
        </w:rPr>
        <w:t>.</w:t>
      </w:r>
    </w:p>
    <w:p w:rsidR="00112041" w:rsidRDefault="00112041" w:rsidP="00747C9D">
      <w:pPr>
        <w:spacing w:line="360" w:lineRule="auto"/>
        <w:ind w:firstLine="2880"/>
        <w:rPr>
          <w:sz w:val="26"/>
          <w:szCs w:val="26"/>
        </w:rPr>
      </w:pPr>
    </w:p>
    <w:p w:rsidR="004177CF" w:rsidRPr="008E7C8E" w:rsidRDefault="004177CF" w:rsidP="00940B59">
      <w:pPr>
        <w:pStyle w:val="Heading4"/>
      </w:pPr>
      <w:bookmarkStart w:id="300" w:name="_Toc242516337"/>
      <w:bookmarkStart w:id="301" w:name="_Toc244499414"/>
      <w:r>
        <w:t>b.</w:t>
      </w:r>
      <w:r w:rsidR="00B6382E">
        <w:t xml:space="preserve">  </w:t>
      </w:r>
      <w:r w:rsidR="006F4B78">
        <w:tab/>
      </w:r>
      <w:r w:rsidRPr="008E7C8E">
        <w:t>Disposition</w:t>
      </w:r>
      <w:bookmarkEnd w:id="300"/>
      <w:bookmarkEnd w:id="301"/>
    </w:p>
    <w:p w:rsidR="00D5640A" w:rsidRDefault="00D5640A" w:rsidP="00D5640A">
      <w:pPr>
        <w:spacing w:line="360" w:lineRule="auto"/>
        <w:rPr>
          <w:sz w:val="26"/>
          <w:szCs w:val="26"/>
        </w:rPr>
      </w:pPr>
    </w:p>
    <w:p w:rsidR="00D5640A" w:rsidRPr="00D5640A" w:rsidRDefault="00D335BC" w:rsidP="00D5640A">
      <w:pPr>
        <w:spacing w:line="360" w:lineRule="auto"/>
        <w:ind w:firstLine="1440"/>
        <w:rPr>
          <w:sz w:val="26"/>
          <w:szCs w:val="26"/>
        </w:rPr>
      </w:pPr>
      <w:r>
        <w:rPr>
          <w:sz w:val="26"/>
          <w:szCs w:val="26"/>
        </w:rPr>
        <w:t>On the basis of our</w:t>
      </w:r>
      <w:r w:rsidR="00D5640A" w:rsidRPr="00D5640A">
        <w:rPr>
          <w:sz w:val="26"/>
          <w:szCs w:val="26"/>
        </w:rPr>
        <w:t xml:space="preserve"> review of the record, we shall approve the </w:t>
      </w:r>
      <w:r w:rsidR="005F0971">
        <w:rPr>
          <w:sz w:val="26"/>
          <w:szCs w:val="26"/>
        </w:rPr>
        <w:t>i</w:t>
      </w:r>
      <w:r w:rsidR="00D5640A" w:rsidRPr="00D5640A">
        <w:rPr>
          <w:sz w:val="26"/>
          <w:szCs w:val="26"/>
        </w:rPr>
        <w:t xml:space="preserve">mplementation </w:t>
      </w:r>
      <w:r w:rsidR="005F0971">
        <w:rPr>
          <w:sz w:val="26"/>
          <w:szCs w:val="26"/>
        </w:rPr>
        <w:t xml:space="preserve">and management strategies contained in </w:t>
      </w:r>
      <w:r w:rsidR="00262958">
        <w:rPr>
          <w:sz w:val="26"/>
          <w:szCs w:val="26"/>
        </w:rPr>
        <w:t>Section</w:t>
      </w:r>
      <w:r w:rsidR="00D5640A" w:rsidRPr="00D5640A">
        <w:rPr>
          <w:sz w:val="26"/>
          <w:szCs w:val="26"/>
        </w:rPr>
        <w:t xml:space="preserve"> </w:t>
      </w:r>
      <w:r w:rsidR="005F0971">
        <w:rPr>
          <w:sz w:val="26"/>
          <w:szCs w:val="26"/>
        </w:rPr>
        <w:t xml:space="preserve">4 </w:t>
      </w:r>
      <w:r w:rsidR="00D5640A" w:rsidRPr="00D5640A">
        <w:rPr>
          <w:sz w:val="26"/>
          <w:szCs w:val="26"/>
        </w:rPr>
        <w:t xml:space="preserve">of the </w:t>
      </w:r>
      <w:r w:rsidR="005F0971">
        <w:rPr>
          <w:sz w:val="26"/>
          <w:szCs w:val="26"/>
        </w:rPr>
        <w:t xml:space="preserve">respective </w:t>
      </w:r>
      <w:r w:rsidR="00D5640A" w:rsidRPr="00D5640A">
        <w:rPr>
          <w:sz w:val="26"/>
          <w:szCs w:val="26"/>
        </w:rPr>
        <w:t xml:space="preserve">Plans, having found them to be </w:t>
      </w:r>
      <w:r w:rsidR="005F0971">
        <w:rPr>
          <w:sz w:val="26"/>
          <w:szCs w:val="26"/>
        </w:rPr>
        <w:t xml:space="preserve">reasonable </w:t>
      </w:r>
      <w:r w:rsidR="00D5640A" w:rsidRPr="00D5640A">
        <w:rPr>
          <w:sz w:val="26"/>
          <w:szCs w:val="26"/>
        </w:rPr>
        <w:t xml:space="preserve">and in compliance with Act 129. </w:t>
      </w:r>
    </w:p>
    <w:p w:rsidR="009E26A1" w:rsidRDefault="009E26A1" w:rsidP="009E26A1">
      <w:pPr>
        <w:spacing w:line="360" w:lineRule="auto"/>
        <w:ind w:firstLine="1440"/>
        <w:rPr>
          <w:sz w:val="26"/>
          <w:szCs w:val="26"/>
        </w:rPr>
      </w:pPr>
    </w:p>
    <w:p w:rsidR="009E26A1" w:rsidRPr="00352094" w:rsidRDefault="00B6382E" w:rsidP="00940B59">
      <w:pPr>
        <w:pStyle w:val="Heading3"/>
      </w:pPr>
      <w:bookmarkStart w:id="302" w:name="_Toc242516338"/>
      <w:bookmarkStart w:id="303" w:name="_Toc244499415"/>
      <w:r>
        <w:t xml:space="preserve">2.  </w:t>
      </w:r>
      <w:r w:rsidR="006F4B78">
        <w:tab/>
      </w:r>
      <w:r w:rsidR="009E26A1" w:rsidRPr="00352094">
        <w:t>Q</w:t>
      </w:r>
      <w:r w:rsidR="00440771">
        <w:t xml:space="preserve">uality </w:t>
      </w:r>
      <w:r w:rsidR="009E26A1" w:rsidRPr="00352094">
        <w:t>A</w:t>
      </w:r>
      <w:r w:rsidR="00440771">
        <w:t>ssurance</w:t>
      </w:r>
      <w:r w:rsidR="009E26A1" w:rsidRPr="00352094">
        <w:t xml:space="preserve"> Issues</w:t>
      </w:r>
      <w:bookmarkEnd w:id="302"/>
      <w:bookmarkEnd w:id="303"/>
    </w:p>
    <w:p w:rsidR="004177CF" w:rsidRDefault="004177CF" w:rsidP="004177CF">
      <w:pPr>
        <w:spacing w:line="360" w:lineRule="auto"/>
        <w:ind w:firstLine="2160"/>
        <w:rPr>
          <w:b/>
          <w:sz w:val="26"/>
          <w:szCs w:val="26"/>
        </w:rPr>
      </w:pPr>
    </w:p>
    <w:p w:rsidR="00014AC5" w:rsidRPr="00014AC5" w:rsidRDefault="00D87F4B" w:rsidP="00014AC5">
      <w:pPr>
        <w:spacing w:line="360" w:lineRule="auto"/>
        <w:ind w:firstLine="1440"/>
        <w:rPr>
          <w:sz w:val="26"/>
          <w:szCs w:val="26"/>
        </w:rPr>
      </w:pPr>
      <w:r w:rsidRPr="00014AC5">
        <w:rPr>
          <w:sz w:val="26"/>
          <w:szCs w:val="26"/>
        </w:rPr>
        <w:t xml:space="preserve">The Commission’s EE&amp;C Program is to include an evaluation process, including a process to monitor and verify data collection, quality assurance and </w:t>
      </w:r>
      <w:r w:rsidR="00D335BC">
        <w:rPr>
          <w:sz w:val="26"/>
          <w:szCs w:val="26"/>
        </w:rPr>
        <w:t xml:space="preserve">the </w:t>
      </w:r>
      <w:r w:rsidRPr="00014AC5">
        <w:rPr>
          <w:sz w:val="26"/>
          <w:szCs w:val="26"/>
        </w:rPr>
        <w:t xml:space="preserve">results of each plan and the program.  66 Pa. C.S. § 2806.1(a)(2).  </w:t>
      </w:r>
      <w:r w:rsidR="00C311EA" w:rsidRPr="00014AC5">
        <w:rPr>
          <w:sz w:val="26"/>
          <w:szCs w:val="26"/>
        </w:rPr>
        <w:t>Consistent with this requirement, each EDC</w:t>
      </w:r>
      <w:r w:rsidR="00E86C35" w:rsidRPr="00014AC5">
        <w:rPr>
          <w:sz w:val="26"/>
          <w:szCs w:val="26"/>
        </w:rPr>
        <w:t>’</w:t>
      </w:r>
      <w:r w:rsidR="00C311EA" w:rsidRPr="00014AC5">
        <w:rPr>
          <w:sz w:val="26"/>
          <w:szCs w:val="26"/>
        </w:rPr>
        <w:t>s Plan is to “explain how quality assurance and performance will be measured, verified and evaluated.”  66 Pa. C.S. § 2806(b)(1)(i)(</w:t>
      </w:r>
      <w:r w:rsidR="005312B8">
        <w:rPr>
          <w:sz w:val="26"/>
          <w:szCs w:val="26"/>
        </w:rPr>
        <w:t>C</w:t>
      </w:r>
      <w:r w:rsidR="00C311EA" w:rsidRPr="00014AC5">
        <w:rPr>
          <w:sz w:val="26"/>
          <w:szCs w:val="26"/>
        </w:rPr>
        <w:t>).</w:t>
      </w:r>
      <w:r w:rsidR="00014AC5" w:rsidRPr="00014AC5">
        <w:rPr>
          <w:sz w:val="26"/>
          <w:szCs w:val="26"/>
        </w:rPr>
        <w:t xml:space="preserve">  </w:t>
      </w:r>
      <w:r w:rsidR="00014AC5">
        <w:rPr>
          <w:sz w:val="26"/>
          <w:szCs w:val="26"/>
        </w:rPr>
        <w:t>E</w:t>
      </w:r>
      <w:r w:rsidR="00014AC5" w:rsidRPr="00014AC5">
        <w:rPr>
          <w:sz w:val="26"/>
          <w:szCs w:val="26"/>
        </w:rPr>
        <w:t>ach EDC is also required to submit an annual report to the Commission relating to the results of its EE&amp;C Plan.  66 Pa. C.S. § 2806.1</w:t>
      </w:r>
      <w:r w:rsidR="00332C38">
        <w:rPr>
          <w:sz w:val="26"/>
          <w:szCs w:val="26"/>
        </w:rPr>
        <w:t>(</w:t>
      </w:r>
      <w:r w:rsidR="005312B8">
        <w:rPr>
          <w:sz w:val="26"/>
          <w:szCs w:val="26"/>
        </w:rPr>
        <w:t>i</w:t>
      </w:r>
      <w:r w:rsidR="00332C38">
        <w:rPr>
          <w:sz w:val="26"/>
          <w:szCs w:val="26"/>
        </w:rPr>
        <w:t>)</w:t>
      </w:r>
      <w:r w:rsidR="00014AC5" w:rsidRPr="00014AC5">
        <w:rPr>
          <w:sz w:val="26"/>
          <w:szCs w:val="26"/>
        </w:rPr>
        <w:t xml:space="preserve">(1).  </w:t>
      </w:r>
    </w:p>
    <w:p w:rsidR="00014AC5" w:rsidRPr="00D87F4B" w:rsidRDefault="00014AC5" w:rsidP="00384296">
      <w:pPr>
        <w:spacing w:line="360" w:lineRule="auto"/>
        <w:ind w:firstLine="1440"/>
        <w:rPr>
          <w:sz w:val="26"/>
          <w:szCs w:val="26"/>
        </w:rPr>
      </w:pPr>
    </w:p>
    <w:p w:rsidR="004177CF" w:rsidRPr="008E7C8E" w:rsidRDefault="004177CF" w:rsidP="00940B59">
      <w:pPr>
        <w:pStyle w:val="Heading4"/>
      </w:pPr>
      <w:bookmarkStart w:id="304" w:name="_Toc242516339"/>
      <w:bookmarkStart w:id="305" w:name="_Toc244499416"/>
      <w:r>
        <w:t>a.</w:t>
      </w:r>
      <w:r w:rsidR="00B6382E">
        <w:t xml:space="preserve">  </w:t>
      </w:r>
      <w:r w:rsidR="006F4B78">
        <w:tab/>
      </w:r>
      <w:r w:rsidRPr="008E7C8E">
        <w:t>Positions of the Parties</w:t>
      </w:r>
      <w:bookmarkEnd w:id="304"/>
      <w:bookmarkEnd w:id="305"/>
    </w:p>
    <w:p w:rsidR="004177CF" w:rsidRDefault="004177CF" w:rsidP="004177CF">
      <w:pPr>
        <w:spacing w:line="360" w:lineRule="auto"/>
        <w:ind w:firstLine="2880"/>
        <w:rPr>
          <w:sz w:val="26"/>
          <w:szCs w:val="26"/>
        </w:rPr>
      </w:pPr>
    </w:p>
    <w:p w:rsidR="008424AC" w:rsidRPr="008424AC" w:rsidRDefault="00D33C33" w:rsidP="008424AC">
      <w:pPr>
        <w:spacing w:line="360" w:lineRule="auto"/>
        <w:ind w:firstLine="1440"/>
        <w:rPr>
          <w:sz w:val="26"/>
          <w:szCs w:val="26"/>
        </w:rPr>
      </w:pPr>
      <w:r>
        <w:rPr>
          <w:sz w:val="26"/>
          <w:szCs w:val="26"/>
        </w:rPr>
        <w:t xml:space="preserve">Section 6 of the Plans </w:t>
      </w:r>
      <w:r w:rsidR="000F4EEF">
        <w:rPr>
          <w:sz w:val="26"/>
          <w:szCs w:val="26"/>
        </w:rPr>
        <w:t xml:space="preserve">outlines the Companies’ strategies for </w:t>
      </w:r>
      <w:r w:rsidR="00302308">
        <w:rPr>
          <w:sz w:val="26"/>
          <w:szCs w:val="26"/>
        </w:rPr>
        <w:t>quality assurance and evaluation, m</w:t>
      </w:r>
      <w:r w:rsidR="008424AC" w:rsidRPr="008424AC">
        <w:rPr>
          <w:sz w:val="26"/>
          <w:szCs w:val="26"/>
        </w:rPr>
        <w:t>easurement</w:t>
      </w:r>
      <w:r w:rsidR="00302308">
        <w:rPr>
          <w:sz w:val="26"/>
          <w:szCs w:val="26"/>
        </w:rPr>
        <w:t xml:space="preserve"> and v</w:t>
      </w:r>
      <w:r w:rsidR="003D0A27">
        <w:rPr>
          <w:sz w:val="26"/>
          <w:szCs w:val="26"/>
        </w:rPr>
        <w:t>erification</w:t>
      </w:r>
      <w:r w:rsidR="00302308">
        <w:rPr>
          <w:sz w:val="26"/>
          <w:szCs w:val="26"/>
        </w:rPr>
        <w:t>.  This s</w:t>
      </w:r>
      <w:r w:rsidR="008424AC" w:rsidRPr="008424AC">
        <w:rPr>
          <w:sz w:val="26"/>
          <w:szCs w:val="26"/>
        </w:rPr>
        <w:t xml:space="preserve">ection addresses, </w:t>
      </w:r>
      <w:r w:rsidR="008424AC" w:rsidRPr="008424AC">
        <w:rPr>
          <w:i/>
          <w:sz w:val="26"/>
          <w:szCs w:val="26"/>
        </w:rPr>
        <w:t>inter alia</w:t>
      </w:r>
      <w:r w:rsidR="008424AC" w:rsidRPr="008424AC">
        <w:rPr>
          <w:sz w:val="26"/>
          <w:szCs w:val="26"/>
        </w:rPr>
        <w:t>, the Companies’ overall approach to qualit</w:t>
      </w:r>
      <w:r w:rsidR="003C061A">
        <w:rPr>
          <w:sz w:val="26"/>
          <w:szCs w:val="26"/>
        </w:rPr>
        <w:t>y assurance and quality control;</w:t>
      </w:r>
      <w:r w:rsidR="008424AC" w:rsidRPr="008424AC">
        <w:rPr>
          <w:sz w:val="26"/>
          <w:szCs w:val="26"/>
        </w:rPr>
        <w:t xml:space="preserve"> the procedures for measure and project installation verification, quality assurance and </w:t>
      </w:r>
      <w:r w:rsidR="008424AC" w:rsidRPr="008424AC">
        <w:rPr>
          <w:sz w:val="26"/>
          <w:szCs w:val="26"/>
        </w:rPr>
        <w:lastRenderedPageBreak/>
        <w:t>control</w:t>
      </w:r>
      <w:r w:rsidR="003C061A">
        <w:rPr>
          <w:sz w:val="26"/>
          <w:szCs w:val="26"/>
        </w:rPr>
        <w:t>,</w:t>
      </w:r>
      <w:r w:rsidR="008424AC" w:rsidRPr="008424AC">
        <w:rPr>
          <w:sz w:val="26"/>
          <w:szCs w:val="26"/>
        </w:rPr>
        <w:t xml:space="preserve"> and saving</w:t>
      </w:r>
      <w:r w:rsidR="003C061A">
        <w:rPr>
          <w:sz w:val="26"/>
          <w:szCs w:val="26"/>
        </w:rPr>
        <w:t>s documentation; the procedures for collecting and addressing participating customer, contractor and trade ally feedback; the Companies’</w:t>
      </w:r>
      <w:r w:rsidR="008424AC" w:rsidRPr="008424AC">
        <w:rPr>
          <w:sz w:val="26"/>
          <w:szCs w:val="26"/>
        </w:rPr>
        <w:t xml:space="preserve"> planned market and process evaluations</w:t>
      </w:r>
      <w:r w:rsidR="003C061A">
        <w:rPr>
          <w:sz w:val="26"/>
          <w:szCs w:val="26"/>
        </w:rPr>
        <w:t>;</w:t>
      </w:r>
      <w:r w:rsidR="008424AC" w:rsidRPr="008424AC">
        <w:rPr>
          <w:sz w:val="26"/>
          <w:szCs w:val="26"/>
        </w:rPr>
        <w:t xml:space="preserve"> and strategies for coordinat</w:t>
      </w:r>
      <w:r w:rsidR="003C061A">
        <w:rPr>
          <w:sz w:val="26"/>
          <w:szCs w:val="26"/>
        </w:rPr>
        <w:t xml:space="preserve">ing with the </w:t>
      </w:r>
      <w:r w:rsidR="001A005F">
        <w:rPr>
          <w:sz w:val="26"/>
          <w:szCs w:val="26"/>
        </w:rPr>
        <w:t>S</w:t>
      </w:r>
      <w:r w:rsidR="003C061A">
        <w:rPr>
          <w:sz w:val="26"/>
          <w:szCs w:val="26"/>
        </w:rPr>
        <w:t>tatewide</w:t>
      </w:r>
      <w:r w:rsidR="001A005F">
        <w:rPr>
          <w:sz w:val="26"/>
          <w:szCs w:val="26"/>
        </w:rPr>
        <w:t xml:space="preserve"> E</w:t>
      </w:r>
      <w:r w:rsidR="008424AC" w:rsidRPr="008424AC">
        <w:rPr>
          <w:sz w:val="26"/>
          <w:szCs w:val="26"/>
        </w:rPr>
        <w:t xml:space="preserve">valuator.  FirstEnergy posits that no Party has challenged the </w:t>
      </w:r>
      <w:r w:rsidR="007E09B1">
        <w:rPr>
          <w:sz w:val="26"/>
          <w:szCs w:val="26"/>
        </w:rPr>
        <w:t>q</w:t>
      </w:r>
      <w:r w:rsidR="008424AC" w:rsidRPr="008424AC">
        <w:rPr>
          <w:sz w:val="26"/>
          <w:szCs w:val="26"/>
        </w:rPr>
        <w:t xml:space="preserve">uality </w:t>
      </w:r>
      <w:r w:rsidR="007E09B1">
        <w:rPr>
          <w:sz w:val="26"/>
          <w:szCs w:val="26"/>
        </w:rPr>
        <w:t>a</w:t>
      </w:r>
      <w:r w:rsidR="008424AC" w:rsidRPr="008424AC">
        <w:rPr>
          <w:sz w:val="26"/>
          <w:szCs w:val="26"/>
        </w:rPr>
        <w:t>ssurance portion of the Plans</w:t>
      </w:r>
      <w:r w:rsidR="00440771">
        <w:rPr>
          <w:sz w:val="26"/>
          <w:szCs w:val="26"/>
        </w:rPr>
        <w:t xml:space="preserve">.  It also notes </w:t>
      </w:r>
      <w:r w:rsidR="008424AC" w:rsidRPr="008424AC">
        <w:rPr>
          <w:sz w:val="26"/>
          <w:szCs w:val="26"/>
        </w:rPr>
        <w:t xml:space="preserve">that the Companies have proposed no amendments to the </w:t>
      </w:r>
      <w:r w:rsidR="007E09B1">
        <w:rPr>
          <w:sz w:val="26"/>
          <w:szCs w:val="26"/>
        </w:rPr>
        <w:t xml:space="preserve">quality assurance portions of the </w:t>
      </w:r>
      <w:r w:rsidR="008424AC" w:rsidRPr="008424AC">
        <w:rPr>
          <w:sz w:val="26"/>
          <w:szCs w:val="26"/>
        </w:rPr>
        <w:t>Plan.</w:t>
      </w:r>
      <w:r w:rsidR="00F352DD">
        <w:rPr>
          <w:sz w:val="26"/>
          <w:szCs w:val="26"/>
        </w:rPr>
        <w:t xml:space="preserve">  FirstEnergy MB at 52.</w:t>
      </w:r>
      <w:r w:rsidR="008424AC" w:rsidRPr="008424AC">
        <w:rPr>
          <w:sz w:val="26"/>
          <w:szCs w:val="26"/>
        </w:rPr>
        <w:t xml:space="preserve">  </w:t>
      </w:r>
    </w:p>
    <w:p w:rsidR="008424AC" w:rsidRPr="008424AC" w:rsidRDefault="008424AC" w:rsidP="008424AC">
      <w:pPr>
        <w:spacing w:line="360" w:lineRule="auto"/>
        <w:ind w:firstLine="1440"/>
        <w:rPr>
          <w:sz w:val="26"/>
          <w:szCs w:val="26"/>
        </w:rPr>
      </w:pPr>
    </w:p>
    <w:p w:rsidR="00A309D3" w:rsidRPr="00747C9D" w:rsidRDefault="00A309D3" w:rsidP="00A309D3">
      <w:pPr>
        <w:spacing w:line="360" w:lineRule="auto"/>
        <w:ind w:firstLine="1440"/>
        <w:rPr>
          <w:sz w:val="26"/>
          <w:szCs w:val="26"/>
        </w:rPr>
      </w:pPr>
      <w:r>
        <w:rPr>
          <w:sz w:val="26"/>
          <w:szCs w:val="26"/>
        </w:rPr>
        <w:t xml:space="preserve">The </w:t>
      </w:r>
      <w:r w:rsidR="000212DB">
        <w:rPr>
          <w:sz w:val="26"/>
          <w:szCs w:val="26"/>
        </w:rPr>
        <w:t>Parties</w:t>
      </w:r>
      <w:r>
        <w:rPr>
          <w:sz w:val="26"/>
          <w:szCs w:val="26"/>
        </w:rPr>
        <w:t xml:space="preserve"> raised no quality assurance issues which are not addressed elsewhere in this </w:t>
      </w:r>
      <w:r w:rsidR="003A5D24">
        <w:rPr>
          <w:sz w:val="26"/>
          <w:szCs w:val="26"/>
        </w:rPr>
        <w:t>Opinion and Order</w:t>
      </w:r>
      <w:r>
        <w:rPr>
          <w:sz w:val="26"/>
          <w:szCs w:val="26"/>
        </w:rPr>
        <w:t>.</w:t>
      </w:r>
      <w:r>
        <w:rPr>
          <w:rStyle w:val="FootnoteReference"/>
          <w:sz w:val="26"/>
          <w:szCs w:val="26"/>
        </w:rPr>
        <w:footnoteReference w:id="38"/>
      </w:r>
    </w:p>
    <w:p w:rsidR="008424AC" w:rsidRDefault="008424AC" w:rsidP="004177CF">
      <w:pPr>
        <w:spacing w:line="360" w:lineRule="auto"/>
        <w:ind w:firstLine="2880"/>
        <w:rPr>
          <w:sz w:val="26"/>
          <w:szCs w:val="26"/>
        </w:rPr>
      </w:pPr>
    </w:p>
    <w:p w:rsidR="004177CF" w:rsidRPr="008E7C8E" w:rsidRDefault="004177CF" w:rsidP="00940B59">
      <w:pPr>
        <w:pStyle w:val="Heading4"/>
      </w:pPr>
      <w:bookmarkStart w:id="306" w:name="_Toc242516340"/>
      <w:bookmarkStart w:id="307" w:name="_Toc244499417"/>
      <w:r>
        <w:t>b.</w:t>
      </w:r>
      <w:r w:rsidR="00B6382E">
        <w:t xml:space="preserve">  </w:t>
      </w:r>
      <w:r w:rsidR="006F4B78">
        <w:tab/>
      </w:r>
      <w:r w:rsidRPr="008E7C8E">
        <w:t>Disposition</w:t>
      </w:r>
      <w:bookmarkEnd w:id="306"/>
      <w:bookmarkEnd w:id="307"/>
    </w:p>
    <w:p w:rsidR="009E26A1" w:rsidRDefault="009E26A1" w:rsidP="009E26A1">
      <w:pPr>
        <w:spacing w:line="360" w:lineRule="auto"/>
        <w:ind w:firstLine="1440"/>
        <w:rPr>
          <w:sz w:val="26"/>
          <w:szCs w:val="26"/>
        </w:rPr>
      </w:pPr>
    </w:p>
    <w:p w:rsidR="00262958" w:rsidRPr="00D5640A" w:rsidRDefault="00D335BC" w:rsidP="00262958">
      <w:pPr>
        <w:spacing w:line="360" w:lineRule="auto"/>
        <w:ind w:firstLine="1440"/>
        <w:rPr>
          <w:sz w:val="26"/>
          <w:szCs w:val="26"/>
        </w:rPr>
      </w:pPr>
      <w:r>
        <w:rPr>
          <w:sz w:val="26"/>
          <w:szCs w:val="26"/>
        </w:rPr>
        <w:t>On the basis of our</w:t>
      </w:r>
      <w:r w:rsidR="00262958" w:rsidRPr="00D5640A">
        <w:rPr>
          <w:sz w:val="26"/>
          <w:szCs w:val="26"/>
        </w:rPr>
        <w:t xml:space="preserve"> review of the record, we shall approve the </w:t>
      </w:r>
      <w:r w:rsidR="00262958">
        <w:rPr>
          <w:sz w:val="26"/>
          <w:szCs w:val="26"/>
        </w:rPr>
        <w:t>quality assurance provisions contained in Section</w:t>
      </w:r>
      <w:r w:rsidR="00262958" w:rsidRPr="00D5640A">
        <w:rPr>
          <w:sz w:val="26"/>
          <w:szCs w:val="26"/>
        </w:rPr>
        <w:t xml:space="preserve"> </w:t>
      </w:r>
      <w:r w:rsidR="00262958">
        <w:rPr>
          <w:sz w:val="26"/>
          <w:szCs w:val="26"/>
        </w:rPr>
        <w:t xml:space="preserve">6 </w:t>
      </w:r>
      <w:r w:rsidR="00262958" w:rsidRPr="00D5640A">
        <w:rPr>
          <w:sz w:val="26"/>
          <w:szCs w:val="26"/>
        </w:rPr>
        <w:t xml:space="preserve">of the </w:t>
      </w:r>
      <w:r w:rsidR="00262958">
        <w:rPr>
          <w:sz w:val="26"/>
          <w:szCs w:val="26"/>
        </w:rPr>
        <w:t xml:space="preserve">respective </w:t>
      </w:r>
      <w:r w:rsidR="00262958" w:rsidRPr="00D5640A">
        <w:rPr>
          <w:sz w:val="26"/>
          <w:szCs w:val="26"/>
        </w:rPr>
        <w:t xml:space="preserve">Plans, having found them to be </w:t>
      </w:r>
      <w:r w:rsidR="00262958">
        <w:rPr>
          <w:sz w:val="26"/>
          <w:szCs w:val="26"/>
        </w:rPr>
        <w:t xml:space="preserve">reasonable </w:t>
      </w:r>
      <w:r w:rsidR="00262958" w:rsidRPr="00D5640A">
        <w:rPr>
          <w:sz w:val="26"/>
          <w:szCs w:val="26"/>
        </w:rPr>
        <w:t xml:space="preserve">and in compliance with Act 129. </w:t>
      </w:r>
    </w:p>
    <w:p w:rsidR="007F241C" w:rsidRDefault="007F241C" w:rsidP="009E26A1">
      <w:pPr>
        <w:spacing w:line="360" w:lineRule="auto"/>
        <w:ind w:firstLine="1440"/>
        <w:rPr>
          <w:sz w:val="26"/>
          <w:szCs w:val="26"/>
        </w:rPr>
      </w:pPr>
    </w:p>
    <w:p w:rsidR="009E26A1" w:rsidRPr="00352094" w:rsidRDefault="00B6382E" w:rsidP="00940B59">
      <w:pPr>
        <w:pStyle w:val="Heading3"/>
      </w:pPr>
      <w:bookmarkStart w:id="308" w:name="_Toc242516341"/>
      <w:bookmarkStart w:id="309" w:name="_Toc244499418"/>
      <w:r>
        <w:t xml:space="preserve">3.  </w:t>
      </w:r>
      <w:r w:rsidR="006F4B78">
        <w:tab/>
      </w:r>
      <w:r w:rsidR="009E26A1" w:rsidRPr="00352094">
        <w:t>Monitoring and Reporting Issues</w:t>
      </w:r>
      <w:bookmarkEnd w:id="308"/>
      <w:bookmarkEnd w:id="309"/>
    </w:p>
    <w:p w:rsidR="004177CF" w:rsidRDefault="004177CF" w:rsidP="004177CF">
      <w:pPr>
        <w:spacing w:line="360" w:lineRule="auto"/>
        <w:ind w:firstLine="2160"/>
        <w:rPr>
          <w:b/>
          <w:sz w:val="26"/>
          <w:szCs w:val="26"/>
        </w:rPr>
      </w:pPr>
    </w:p>
    <w:p w:rsidR="00E86C35" w:rsidRPr="00D87F4B" w:rsidRDefault="00E86C35" w:rsidP="00384296">
      <w:pPr>
        <w:spacing w:line="360" w:lineRule="auto"/>
        <w:ind w:firstLine="1440"/>
        <w:rPr>
          <w:sz w:val="26"/>
          <w:szCs w:val="26"/>
        </w:rPr>
      </w:pPr>
      <w:r>
        <w:rPr>
          <w:sz w:val="26"/>
          <w:szCs w:val="26"/>
        </w:rPr>
        <w:t xml:space="preserve">As stated above, </w:t>
      </w:r>
      <w:r w:rsidR="00BF3CC6">
        <w:rPr>
          <w:sz w:val="26"/>
          <w:szCs w:val="26"/>
        </w:rPr>
        <w:t xml:space="preserve">the Commission’s EE&amp;C Program is to include an evaluation process, including a process to monitor and verify data collection, quality assurance and </w:t>
      </w:r>
      <w:r w:rsidR="00D335BC">
        <w:rPr>
          <w:sz w:val="26"/>
          <w:szCs w:val="26"/>
        </w:rPr>
        <w:t xml:space="preserve">the </w:t>
      </w:r>
      <w:r w:rsidR="00BF3CC6">
        <w:rPr>
          <w:sz w:val="26"/>
          <w:szCs w:val="26"/>
        </w:rPr>
        <w:t>results of each plan and the program.  66 Pa. C.S. § 2806.1(a)(2).  Consistent with this requirement, each EDC’s Plan</w:t>
      </w:r>
      <w:r>
        <w:rPr>
          <w:sz w:val="26"/>
          <w:szCs w:val="26"/>
        </w:rPr>
        <w:t xml:space="preserve"> is to “explain how quality assurance and performance will be measured, verified and evaluated.”  66 Pa. C.S. </w:t>
      </w:r>
      <w:r w:rsidR="00484FA6">
        <w:rPr>
          <w:sz w:val="26"/>
          <w:szCs w:val="26"/>
        </w:rPr>
        <w:br/>
      </w:r>
      <w:r w:rsidR="00D335BC">
        <w:rPr>
          <w:sz w:val="26"/>
          <w:szCs w:val="26"/>
        </w:rPr>
        <w:t>§ 2806(b)(1)(i)(C</w:t>
      </w:r>
      <w:r>
        <w:rPr>
          <w:sz w:val="26"/>
          <w:szCs w:val="26"/>
        </w:rPr>
        <w:t>).</w:t>
      </w:r>
      <w:r w:rsidR="00484FA6">
        <w:rPr>
          <w:sz w:val="26"/>
          <w:szCs w:val="26"/>
        </w:rPr>
        <w:t xml:space="preserve">  </w:t>
      </w:r>
      <w:r w:rsidR="00B70EC6">
        <w:rPr>
          <w:sz w:val="26"/>
          <w:szCs w:val="26"/>
        </w:rPr>
        <w:t>E</w:t>
      </w:r>
      <w:r w:rsidR="00484FA6">
        <w:rPr>
          <w:sz w:val="26"/>
          <w:szCs w:val="26"/>
        </w:rPr>
        <w:t xml:space="preserve">ach EDC </w:t>
      </w:r>
      <w:r w:rsidR="00B70EC6">
        <w:rPr>
          <w:sz w:val="26"/>
          <w:szCs w:val="26"/>
        </w:rPr>
        <w:t xml:space="preserve">is also required </w:t>
      </w:r>
      <w:r w:rsidR="00484FA6">
        <w:rPr>
          <w:sz w:val="26"/>
          <w:szCs w:val="26"/>
        </w:rPr>
        <w:t xml:space="preserve">to submit </w:t>
      </w:r>
      <w:r w:rsidR="00D838DC">
        <w:rPr>
          <w:sz w:val="26"/>
          <w:szCs w:val="26"/>
        </w:rPr>
        <w:t xml:space="preserve">an </w:t>
      </w:r>
      <w:r w:rsidR="00484FA6">
        <w:rPr>
          <w:sz w:val="26"/>
          <w:szCs w:val="26"/>
        </w:rPr>
        <w:t>annual report to the Commission relating to the results of its EE&amp;C Plan.</w:t>
      </w:r>
      <w:r w:rsidR="00C26BD5">
        <w:rPr>
          <w:rStyle w:val="FootnoteReference"/>
          <w:sz w:val="26"/>
          <w:szCs w:val="26"/>
        </w:rPr>
        <w:footnoteReference w:id="39"/>
      </w:r>
      <w:r w:rsidR="00484FA6">
        <w:rPr>
          <w:sz w:val="26"/>
          <w:szCs w:val="26"/>
        </w:rPr>
        <w:t xml:space="preserve">  66 Pa. C.S. § 2806.1(i)(1).</w:t>
      </w:r>
      <w:r w:rsidR="00D838DC">
        <w:rPr>
          <w:sz w:val="26"/>
          <w:szCs w:val="26"/>
        </w:rPr>
        <w:t xml:space="preserve">  </w:t>
      </w:r>
    </w:p>
    <w:p w:rsidR="009A0751" w:rsidRDefault="009A0751" w:rsidP="004177CF">
      <w:pPr>
        <w:spacing w:line="360" w:lineRule="auto"/>
        <w:ind w:firstLine="2160"/>
        <w:rPr>
          <w:b/>
          <w:sz w:val="26"/>
          <w:szCs w:val="26"/>
        </w:rPr>
      </w:pPr>
    </w:p>
    <w:p w:rsidR="004177CF" w:rsidRPr="008E7C8E" w:rsidRDefault="004177CF" w:rsidP="00940B59">
      <w:pPr>
        <w:pStyle w:val="Heading4"/>
      </w:pPr>
      <w:bookmarkStart w:id="310" w:name="_Toc242516342"/>
      <w:bookmarkStart w:id="311" w:name="_Toc244499419"/>
      <w:r>
        <w:t>a.</w:t>
      </w:r>
      <w:r w:rsidR="00B6382E">
        <w:t xml:space="preserve">  </w:t>
      </w:r>
      <w:r w:rsidR="006F4B78">
        <w:tab/>
      </w:r>
      <w:r w:rsidRPr="008E7C8E">
        <w:t>Positions of the Parties</w:t>
      </w:r>
      <w:bookmarkEnd w:id="310"/>
      <w:bookmarkEnd w:id="311"/>
    </w:p>
    <w:p w:rsidR="004177CF" w:rsidRDefault="004177CF" w:rsidP="004177CF">
      <w:pPr>
        <w:spacing w:line="360" w:lineRule="auto"/>
        <w:ind w:firstLine="2880"/>
        <w:rPr>
          <w:sz w:val="26"/>
          <w:szCs w:val="26"/>
        </w:rPr>
      </w:pPr>
    </w:p>
    <w:p w:rsidR="00F1010C" w:rsidRDefault="00D335BC" w:rsidP="00725F2C">
      <w:pPr>
        <w:pStyle w:val="ListParagraph"/>
        <w:spacing w:line="360" w:lineRule="auto"/>
        <w:ind w:left="0" w:firstLine="1440"/>
        <w:rPr>
          <w:sz w:val="26"/>
          <w:szCs w:val="26"/>
        </w:rPr>
      </w:pPr>
      <w:r>
        <w:rPr>
          <w:sz w:val="26"/>
          <w:szCs w:val="26"/>
        </w:rPr>
        <w:t xml:space="preserve">The </w:t>
      </w:r>
      <w:r w:rsidR="00384296">
        <w:rPr>
          <w:sz w:val="26"/>
          <w:szCs w:val="26"/>
        </w:rPr>
        <w:t>Plans</w:t>
      </w:r>
      <w:r>
        <w:rPr>
          <w:sz w:val="26"/>
          <w:szCs w:val="26"/>
        </w:rPr>
        <w:t xml:space="preserve"> state</w:t>
      </w:r>
      <w:r w:rsidR="00384296">
        <w:rPr>
          <w:sz w:val="26"/>
          <w:szCs w:val="26"/>
        </w:rPr>
        <w:t xml:space="preserve"> “the Company is in the process of assessing potential reporting and tracking systems.</w:t>
      </w:r>
      <w:r w:rsidR="00E705B5">
        <w:rPr>
          <w:sz w:val="26"/>
          <w:szCs w:val="26"/>
        </w:rPr>
        <w:t xml:space="preserve">  Regardless of the system ultimately selected, it will have the ability to monitor the progress of the various programs being offered.</w:t>
      </w:r>
      <w:r w:rsidR="00384296">
        <w:rPr>
          <w:sz w:val="26"/>
          <w:szCs w:val="26"/>
        </w:rPr>
        <w:t xml:space="preserve">”  </w:t>
      </w:r>
      <w:r w:rsidR="007F2487">
        <w:rPr>
          <w:sz w:val="26"/>
          <w:szCs w:val="26"/>
        </w:rPr>
        <w:t xml:space="preserve">Met Ed’s September 21, 2009 Plan at 101.  </w:t>
      </w:r>
      <w:r w:rsidR="000662FC">
        <w:rPr>
          <w:i/>
          <w:sz w:val="26"/>
          <w:szCs w:val="26"/>
        </w:rPr>
        <w:t>S</w:t>
      </w:r>
      <w:r w:rsidR="007F2487" w:rsidRPr="00DE5384">
        <w:rPr>
          <w:i/>
          <w:sz w:val="26"/>
          <w:szCs w:val="26"/>
        </w:rPr>
        <w:t>ee</w:t>
      </w:r>
      <w:r w:rsidR="000662FC">
        <w:rPr>
          <w:i/>
          <w:sz w:val="26"/>
          <w:szCs w:val="26"/>
        </w:rPr>
        <w:t xml:space="preserve"> also</w:t>
      </w:r>
      <w:r w:rsidR="007F2487">
        <w:rPr>
          <w:sz w:val="26"/>
          <w:szCs w:val="26"/>
        </w:rPr>
        <w:t xml:space="preserve">, Penelec’s September 21, 2009 Plan at </w:t>
      </w:r>
      <w:r w:rsidR="00E705B5">
        <w:rPr>
          <w:sz w:val="26"/>
          <w:szCs w:val="26"/>
        </w:rPr>
        <w:t>98</w:t>
      </w:r>
      <w:r w:rsidR="007F2487">
        <w:rPr>
          <w:sz w:val="26"/>
          <w:szCs w:val="26"/>
        </w:rPr>
        <w:t xml:space="preserve"> and Penn Power’s September 21, 2009 Plan at </w:t>
      </w:r>
      <w:r w:rsidR="00C854A2">
        <w:rPr>
          <w:sz w:val="26"/>
          <w:szCs w:val="26"/>
        </w:rPr>
        <w:t>94</w:t>
      </w:r>
      <w:r w:rsidR="007F2487">
        <w:rPr>
          <w:sz w:val="26"/>
          <w:szCs w:val="26"/>
        </w:rPr>
        <w:t>.</w:t>
      </w:r>
      <w:r w:rsidR="00E705B5">
        <w:rPr>
          <w:sz w:val="26"/>
          <w:szCs w:val="26"/>
        </w:rPr>
        <w:t xml:space="preserve">  </w:t>
      </w:r>
      <w:r w:rsidR="00B42D8D">
        <w:rPr>
          <w:sz w:val="26"/>
          <w:szCs w:val="26"/>
        </w:rPr>
        <w:t>FirstEnergy</w:t>
      </w:r>
      <w:r w:rsidR="005C7B71">
        <w:rPr>
          <w:sz w:val="26"/>
          <w:szCs w:val="26"/>
        </w:rPr>
        <w:t xml:space="preserve"> expects to have a system in place by November 1, 2009.  </w:t>
      </w:r>
      <w:r w:rsidR="005C7B71" w:rsidRPr="00F1010C">
        <w:rPr>
          <w:i/>
          <w:sz w:val="26"/>
          <w:szCs w:val="26"/>
        </w:rPr>
        <w:t>Id</w:t>
      </w:r>
      <w:r w:rsidR="005C7B71">
        <w:rPr>
          <w:sz w:val="26"/>
          <w:szCs w:val="26"/>
        </w:rPr>
        <w:t xml:space="preserve">.  </w:t>
      </w:r>
      <w:r w:rsidR="00F1010C">
        <w:rPr>
          <w:sz w:val="26"/>
          <w:szCs w:val="26"/>
        </w:rPr>
        <w:t xml:space="preserve">The Companies state that reports will be provided as required by the Commission.  </w:t>
      </w:r>
      <w:r w:rsidR="00B42D8D">
        <w:rPr>
          <w:sz w:val="26"/>
          <w:szCs w:val="26"/>
        </w:rPr>
        <w:t>FirstEnergy</w:t>
      </w:r>
      <w:r w:rsidR="00F1010C">
        <w:rPr>
          <w:sz w:val="26"/>
          <w:szCs w:val="26"/>
        </w:rPr>
        <w:t xml:space="preserve">’s September 21, 2009 Plans at Section 5.1.  </w:t>
      </w:r>
    </w:p>
    <w:p w:rsidR="00F1010C" w:rsidRDefault="00F1010C" w:rsidP="00725F2C">
      <w:pPr>
        <w:pStyle w:val="ListParagraph"/>
        <w:spacing w:line="360" w:lineRule="auto"/>
        <w:ind w:left="0" w:firstLine="1440"/>
        <w:rPr>
          <w:sz w:val="26"/>
          <w:szCs w:val="26"/>
        </w:rPr>
      </w:pPr>
    </w:p>
    <w:p w:rsidR="00774849" w:rsidRDefault="00B42D8D" w:rsidP="00774849">
      <w:pPr>
        <w:spacing w:line="360" w:lineRule="auto"/>
        <w:ind w:firstLine="1440"/>
        <w:rPr>
          <w:sz w:val="26"/>
          <w:szCs w:val="26"/>
        </w:rPr>
      </w:pPr>
      <w:r>
        <w:rPr>
          <w:sz w:val="26"/>
          <w:szCs w:val="26"/>
        </w:rPr>
        <w:t>FirstEnergy</w:t>
      </w:r>
      <w:r w:rsidR="00774849" w:rsidRPr="00725F2C">
        <w:rPr>
          <w:sz w:val="26"/>
          <w:szCs w:val="26"/>
        </w:rPr>
        <w:t xml:space="preserve"> </w:t>
      </w:r>
      <w:r w:rsidR="00774849">
        <w:rPr>
          <w:sz w:val="26"/>
          <w:szCs w:val="26"/>
        </w:rPr>
        <w:t xml:space="preserve">introduced testimony </w:t>
      </w:r>
      <w:r w:rsidR="00774849" w:rsidRPr="00725F2C">
        <w:rPr>
          <w:sz w:val="26"/>
          <w:szCs w:val="26"/>
        </w:rPr>
        <w:t xml:space="preserve">further </w:t>
      </w:r>
      <w:r w:rsidR="00774849">
        <w:rPr>
          <w:sz w:val="26"/>
          <w:szCs w:val="26"/>
        </w:rPr>
        <w:t>explaini</w:t>
      </w:r>
      <w:r w:rsidR="005A55C5">
        <w:rPr>
          <w:sz w:val="26"/>
          <w:szCs w:val="26"/>
        </w:rPr>
        <w:t>ng its monitoring and reporting</w:t>
      </w:r>
      <w:r w:rsidR="00774849">
        <w:rPr>
          <w:sz w:val="26"/>
          <w:szCs w:val="26"/>
        </w:rPr>
        <w:t xml:space="preserve"> process.  </w:t>
      </w:r>
      <w:r w:rsidR="005E71E7">
        <w:rPr>
          <w:sz w:val="26"/>
          <w:szCs w:val="26"/>
        </w:rPr>
        <w:t xml:space="preserve">According to </w:t>
      </w:r>
      <w:r>
        <w:rPr>
          <w:sz w:val="26"/>
          <w:szCs w:val="26"/>
        </w:rPr>
        <w:t>FirstEnergy</w:t>
      </w:r>
      <w:r w:rsidR="00774849">
        <w:rPr>
          <w:sz w:val="26"/>
          <w:szCs w:val="26"/>
        </w:rPr>
        <w:t>’s witness Fitzpatrick</w:t>
      </w:r>
      <w:r w:rsidR="005E71E7">
        <w:rPr>
          <w:sz w:val="26"/>
          <w:szCs w:val="26"/>
        </w:rPr>
        <w:t xml:space="preserve">, </w:t>
      </w:r>
      <w:r w:rsidR="00774849" w:rsidRPr="00725F2C">
        <w:rPr>
          <w:sz w:val="26"/>
          <w:szCs w:val="26"/>
        </w:rPr>
        <w:t xml:space="preserve">the </w:t>
      </w:r>
      <w:r w:rsidR="001A005F">
        <w:rPr>
          <w:sz w:val="26"/>
          <w:szCs w:val="26"/>
        </w:rPr>
        <w:t>Statewide E</w:t>
      </w:r>
      <w:r w:rsidR="00774849" w:rsidRPr="00725F2C">
        <w:rPr>
          <w:sz w:val="26"/>
          <w:szCs w:val="26"/>
        </w:rPr>
        <w:t>valuat</w:t>
      </w:r>
      <w:r w:rsidR="005E71E7">
        <w:rPr>
          <w:sz w:val="26"/>
          <w:szCs w:val="26"/>
        </w:rPr>
        <w:t xml:space="preserve">or will work closely with the </w:t>
      </w:r>
      <w:r w:rsidR="00774849" w:rsidRPr="00725F2C">
        <w:rPr>
          <w:sz w:val="26"/>
          <w:szCs w:val="26"/>
        </w:rPr>
        <w:t>C</w:t>
      </w:r>
      <w:r w:rsidR="005E71E7">
        <w:rPr>
          <w:sz w:val="26"/>
          <w:szCs w:val="26"/>
        </w:rPr>
        <w:t xml:space="preserve">ompanies </w:t>
      </w:r>
      <w:r w:rsidR="00774849" w:rsidRPr="00725F2C">
        <w:rPr>
          <w:sz w:val="26"/>
          <w:szCs w:val="26"/>
        </w:rPr>
        <w:t>and stakeholders over the term of the Plan</w:t>
      </w:r>
      <w:r w:rsidR="0064632B">
        <w:rPr>
          <w:sz w:val="26"/>
          <w:szCs w:val="26"/>
        </w:rPr>
        <w:t>, and</w:t>
      </w:r>
      <w:r w:rsidR="005E71E7">
        <w:rPr>
          <w:sz w:val="26"/>
          <w:szCs w:val="26"/>
        </w:rPr>
        <w:t xml:space="preserve"> the Companies</w:t>
      </w:r>
      <w:r w:rsidR="00774849" w:rsidRPr="00725F2C">
        <w:rPr>
          <w:sz w:val="26"/>
          <w:szCs w:val="26"/>
        </w:rPr>
        <w:t xml:space="preserve"> will hold quarterly stakeholder meetings to review measures and make any mid-course corrections that are warranted</w:t>
      </w:r>
      <w:r w:rsidR="00774849">
        <w:rPr>
          <w:sz w:val="26"/>
          <w:szCs w:val="26"/>
        </w:rPr>
        <w:t xml:space="preserve">.  </w:t>
      </w:r>
      <w:r>
        <w:rPr>
          <w:sz w:val="26"/>
          <w:szCs w:val="26"/>
        </w:rPr>
        <w:t>FirstEnergy</w:t>
      </w:r>
      <w:r w:rsidR="008F49C5">
        <w:rPr>
          <w:sz w:val="26"/>
          <w:szCs w:val="26"/>
        </w:rPr>
        <w:t xml:space="preserve"> </w:t>
      </w:r>
      <w:r w:rsidR="00774849" w:rsidRPr="00725F2C">
        <w:rPr>
          <w:sz w:val="26"/>
          <w:szCs w:val="26"/>
        </w:rPr>
        <w:t>St</w:t>
      </w:r>
      <w:r w:rsidR="00AB2F18">
        <w:rPr>
          <w:sz w:val="26"/>
          <w:szCs w:val="26"/>
        </w:rPr>
        <w:t>.</w:t>
      </w:r>
      <w:r w:rsidR="00774849" w:rsidRPr="00725F2C">
        <w:rPr>
          <w:sz w:val="26"/>
          <w:szCs w:val="26"/>
        </w:rPr>
        <w:t xml:space="preserve"> 2-R at 19. </w:t>
      </w:r>
    </w:p>
    <w:p w:rsidR="00774849" w:rsidRDefault="00774849" w:rsidP="00725F2C">
      <w:pPr>
        <w:pStyle w:val="ListParagraph"/>
        <w:spacing w:line="360" w:lineRule="auto"/>
        <w:ind w:left="0" w:firstLine="1440"/>
        <w:rPr>
          <w:sz w:val="26"/>
          <w:szCs w:val="26"/>
        </w:rPr>
      </w:pPr>
    </w:p>
    <w:p w:rsidR="00D43AFC" w:rsidRDefault="001537D2" w:rsidP="00821938">
      <w:pPr>
        <w:pStyle w:val="ListParagraph"/>
        <w:spacing w:line="360" w:lineRule="auto"/>
        <w:ind w:left="0" w:firstLine="1440"/>
        <w:rPr>
          <w:sz w:val="26"/>
          <w:szCs w:val="26"/>
        </w:rPr>
      </w:pPr>
      <w:r>
        <w:rPr>
          <w:sz w:val="26"/>
          <w:szCs w:val="26"/>
        </w:rPr>
        <w:t>The OSBA recommends that the EE&amp;C Plans be subjected to a thorough review ea</w:t>
      </w:r>
      <w:r w:rsidR="00D335BC">
        <w:rPr>
          <w:sz w:val="26"/>
          <w:szCs w:val="26"/>
        </w:rPr>
        <w:t>ch year</w:t>
      </w:r>
      <w:r w:rsidR="005F6AE1">
        <w:rPr>
          <w:sz w:val="26"/>
          <w:szCs w:val="26"/>
        </w:rPr>
        <w:t xml:space="preserve"> and adjustments </w:t>
      </w:r>
      <w:r>
        <w:rPr>
          <w:sz w:val="26"/>
          <w:szCs w:val="26"/>
        </w:rPr>
        <w:t xml:space="preserve">be made each year on a going-forward basis.  OSBA MB at </w:t>
      </w:r>
      <w:r w:rsidR="005F6AE1">
        <w:rPr>
          <w:sz w:val="26"/>
          <w:szCs w:val="26"/>
        </w:rPr>
        <w:t>18-</w:t>
      </w:r>
      <w:r>
        <w:rPr>
          <w:sz w:val="26"/>
          <w:szCs w:val="26"/>
        </w:rPr>
        <w:t xml:space="preserve">19.  </w:t>
      </w:r>
      <w:r w:rsidR="00821938">
        <w:rPr>
          <w:sz w:val="26"/>
          <w:szCs w:val="26"/>
        </w:rPr>
        <w:t xml:space="preserve">The </w:t>
      </w:r>
      <w:r w:rsidR="00821938" w:rsidRPr="00725F2C">
        <w:rPr>
          <w:sz w:val="26"/>
          <w:szCs w:val="26"/>
        </w:rPr>
        <w:t xml:space="preserve">OSBA </w:t>
      </w:r>
      <w:r w:rsidR="005C7B71">
        <w:rPr>
          <w:sz w:val="26"/>
          <w:szCs w:val="26"/>
        </w:rPr>
        <w:t xml:space="preserve">argues that this proposal is consistent with the </w:t>
      </w:r>
      <w:r w:rsidR="005C7B71">
        <w:rPr>
          <w:i/>
          <w:sz w:val="26"/>
          <w:szCs w:val="26"/>
        </w:rPr>
        <w:t>Implementation Order</w:t>
      </w:r>
      <w:r w:rsidR="00D43AFC">
        <w:rPr>
          <w:sz w:val="26"/>
          <w:szCs w:val="26"/>
        </w:rPr>
        <w:t xml:space="preserve">, which </w:t>
      </w:r>
      <w:r w:rsidR="005C7B71">
        <w:rPr>
          <w:sz w:val="26"/>
          <w:szCs w:val="26"/>
        </w:rPr>
        <w:t>stated</w:t>
      </w:r>
      <w:r w:rsidR="00F019DD">
        <w:rPr>
          <w:sz w:val="26"/>
          <w:szCs w:val="26"/>
        </w:rPr>
        <w:t xml:space="preserve"> at page 38</w:t>
      </w:r>
      <w:r w:rsidR="00D43AFC">
        <w:rPr>
          <w:sz w:val="26"/>
          <w:szCs w:val="26"/>
        </w:rPr>
        <w:t>:</w:t>
      </w:r>
    </w:p>
    <w:p w:rsidR="005F6AE1" w:rsidRDefault="005F6AE1" w:rsidP="00821938">
      <w:pPr>
        <w:pStyle w:val="ListParagraph"/>
        <w:spacing w:line="360" w:lineRule="auto"/>
        <w:ind w:left="0" w:firstLine="1440"/>
        <w:rPr>
          <w:sz w:val="26"/>
          <w:szCs w:val="26"/>
        </w:rPr>
      </w:pPr>
    </w:p>
    <w:p w:rsidR="005F6AE1" w:rsidRDefault="00C16C9D" w:rsidP="005F6AE1">
      <w:pPr>
        <w:pStyle w:val="ListParagraph"/>
        <w:spacing w:after="200"/>
        <w:ind w:left="1440" w:right="1440"/>
        <w:rPr>
          <w:sz w:val="26"/>
          <w:szCs w:val="26"/>
        </w:rPr>
      </w:pPr>
      <w:r>
        <w:rPr>
          <w:sz w:val="26"/>
          <w:szCs w:val="26"/>
        </w:rPr>
        <w:tab/>
      </w:r>
      <w:r w:rsidR="001E694B">
        <w:rPr>
          <w:sz w:val="26"/>
          <w:szCs w:val="26"/>
        </w:rPr>
        <w:t xml:space="preserve">We will require each subject </w:t>
      </w:r>
      <w:r>
        <w:rPr>
          <w:sz w:val="26"/>
          <w:szCs w:val="26"/>
        </w:rPr>
        <w:t>EDC to develop a reconcilable adjustment clause tariff mechanism in accordance with 66 Pa. C.S. § 1307 and include this mechanism in its EE&amp;C plan</w:t>
      </w:r>
      <w:r w:rsidR="007F77B6">
        <w:rPr>
          <w:sz w:val="26"/>
          <w:szCs w:val="26"/>
        </w:rPr>
        <w:t xml:space="preserve"> </w:t>
      </w:r>
      <w:r>
        <w:rPr>
          <w:sz w:val="26"/>
          <w:szCs w:val="26"/>
        </w:rPr>
        <w:t xml:space="preserve">. . . .  [T]he tariff mechanism will be subject to an annual review and reconciliation in accordance with 66 Pa. C.S. </w:t>
      </w:r>
      <w:r w:rsidR="00F019DD">
        <w:rPr>
          <w:sz w:val="26"/>
          <w:szCs w:val="26"/>
        </w:rPr>
        <w:t xml:space="preserve">§ 1307(e).  The annual review and reconciliation for each EDC’s cost recovery mechanism will occur pursuant to a public hearing, if required due to petitions filed by interveners, and will include an evaluation of the reasonableness of all program costs and their allocation </w:t>
      </w:r>
      <w:r w:rsidR="00F019DD">
        <w:rPr>
          <w:sz w:val="26"/>
          <w:szCs w:val="26"/>
        </w:rPr>
        <w:lastRenderedPageBreak/>
        <w:t xml:space="preserve">to the applicable customer classes.  </w:t>
      </w:r>
      <w:r>
        <w:rPr>
          <w:sz w:val="26"/>
          <w:szCs w:val="26"/>
        </w:rPr>
        <w:t xml:space="preserve"> </w:t>
      </w:r>
      <w:r w:rsidR="005F6AE1" w:rsidRPr="00235CED">
        <w:rPr>
          <w:sz w:val="26"/>
          <w:szCs w:val="26"/>
        </w:rPr>
        <w:t>Such annual review and reconciliation will be scheduled to coincide with our review of the annual report on the EDC’s plan submitted in accordance with 66 Pa. C.S. § 2806.1(i), and all calculations and supporting cost documentation shall be provided at the time that report is filed.</w:t>
      </w:r>
    </w:p>
    <w:p w:rsidR="005F6AE1" w:rsidRDefault="005F6AE1" w:rsidP="005F6AE1">
      <w:pPr>
        <w:pStyle w:val="ListParagraph"/>
        <w:spacing w:after="200"/>
        <w:ind w:left="1440" w:right="1440"/>
        <w:rPr>
          <w:sz w:val="26"/>
          <w:szCs w:val="26"/>
        </w:rPr>
      </w:pPr>
    </w:p>
    <w:p w:rsidR="005F6AE1" w:rsidRDefault="005F6AE1" w:rsidP="005F6AE1">
      <w:pPr>
        <w:pStyle w:val="ListParagraph"/>
        <w:spacing w:after="200"/>
        <w:ind w:left="1440" w:right="1440"/>
        <w:rPr>
          <w:sz w:val="26"/>
          <w:szCs w:val="26"/>
        </w:rPr>
      </w:pPr>
    </w:p>
    <w:p w:rsidR="00F40573" w:rsidRPr="00F65B88" w:rsidRDefault="001537D2" w:rsidP="00F40573">
      <w:pPr>
        <w:pStyle w:val="ListParagraph"/>
        <w:spacing w:line="360" w:lineRule="auto"/>
        <w:ind w:left="0" w:firstLine="1440"/>
        <w:rPr>
          <w:sz w:val="26"/>
          <w:szCs w:val="26"/>
        </w:rPr>
      </w:pPr>
      <w:r>
        <w:rPr>
          <w:sz w:val="26"/>
          <w:szCs w:val="26"/>
        </w:rPr>
        <w:t xml:space="preserve">The </w:t>
      </w:r>
      <w:r w:rsidR="00F40573">
        <w:rPr>
          <w:sz w:val="26"/>
          <w:szCs w:val="26"/>
        </w:rPr>
        <w:t xml:space="preserve">OSBA also argues that its proposal is consistent with the Act’s provisions requiring the evaluation of EE&amp;C plans.  </w:t>
      </w:r>
      <w:r w:rsidR="00F40573" w:rsidRPr="00F65B88">
        <w:rPr>
          <w:sz w:val="26"/>
          <w:szCs w:val="26"/>
        </w:rPr>
        <w:t>The OSBA asserts that, in order to evaluate the cost effectiveness of an EE&amp;C plan, as required by 66 Pa. C.S. § 2806.1(a), as well as to determine the costs for the plan, Act 129 requires an annual independent evaluation of its cost-effectiveness.</w:t>
      </w:r>
      <w:r w:rsidR="007D528E">
        <w:rPr>
          <w:sz w:val="26"/>
          <w:szCs w:val="26"/>
        </w:rPr>
        <w:t xml:space="preserve">  </w:t>
      </w:r>
      <w:r w:rsidR="007D528E" w:rsidRPr="00F65B88">
        <w:rPr>
          <w:sz w:val="26"/>
          <w:szCs w:val="26"/>
        </w:rPr>
        <w:t>OSBA MB at 19-20</w:t>
      </w:r>
      <w:r w:rsidR="007D528E">
        <w:rPr>
          <w:sz w:val="26"/>
          <w:szCs w:val="26"/>
        </w:rPr>
        <w:t xml:space="preserve"> (citing </w:t>
      </w:r>
      <w:r w:rsidR="00F40573" w:rsidRPr="00F65B88">
        <w:rPr>
          <w:sz w:val="26"/>
          <w:szCs w:val="26"/>
        </w:rPr>
        <w:t xml:space="preserve">66 Pa. C.S. </w:t>
      </w:r>
      <w:r w:rsidR="007D528E">
        <w:rPr>
          <w:sz w:val="26"/>
          <w:szCs w:val="26"/>
        </w:rPr>
        <w:br/>
      </w:r>
      <w:r w:rsidR="00F40573" w:rsidRPr="00F65B88">
        <w:rPr>
          <w:sz w:val="26"/>
          <w:szCs w:val="26"/>
        </w:rPr>
        <w:t>§ 2806.1(b)(1)(i)(J)</w:t>
      </w:r>
      <w:r w:rsidR="007D528E">
        <w:rPr>
          <w:sz w:val="26"/>
          <w:szCs w:val="26"/>
        </w:rPr>
        <w:t>)</w:t>
      </w:r>
      <w:r w:rsidR="00F40573" w:rsidRPr="00F65B88">
        <w:rPr>
          <w:sz w:val="26"/>
          <w:szCs w:val="26"/>
        </w:rPr>
        <w:t>.</w:t>
      </w:r>
      <w:r w:rsidR="00DD1A99">
        <w:rPr>
          <w:sz w:val="26"/>
          <w:szCs w:val="26"/>
        </w:rPr>
        <w:t xml:space="preserve">  The OSBA concludes that the annual reconciliation proceeding should include a “full vetting” of the Plans. </w:t>
      </w:r>
      <w:r w:rsidR="00F92F8A">
        <w:rPr>
          <w:sz w:val="26"/>
          <w:szCs w:val="26"/>
        </w:rPr>
        <w:t xml:space="preserve"> OSBA RB at 3-6</w:t>
      </w:r>
      <w:r w:rsidR="00D335BC">
        <w:rPr>
          <w:sz w:val="26"/>
          <w:szCs w:val="26"/>
        </w:rPr>
        <w:t>.</w:t>
      </w:r>
    </w:p>
    <w:p w:rsidR="00821938" w:rsidRPr="00725F2C" w:rsidRDefault="00821938" w:rsidP="005F6AE1">
      <w:pPr>
        <w:pStyle w:val="ListParagraph"/>
        <w:spacing w:line="360" w:lineRule="auto"/>
        <w:ind w:left="0" w:firstLine="1440"/>
        <w:rPr>
          <w:sz w:val="26"/>
          <w:szCs w:val="26"/>
        </w:rPr>
      </w:pPr>
    </w:p>
    <w:p w:rsidR="00623484" w:rsidRDefault="00623484" w:rsidP="005F6AE1">
      <w:pPr>
        <w:pStyle w:val="ListParagraph"/>
        <w:spacing w:after="200" w:line="360" w:lineRule="auto"/>
        <w:ind w:left="0"/>
        <w:rPr>
          <w:sz w:val="26"/>
          <w:szCs w:val="26"/>
        </w:rPr>
      </w:pPr>
      <w:r>
        <w:rPr>
          <w:sz w:val="26"/>
          <w:szCs w:val="26"/>
        </w:rPr>
        <w:tab/>
      </w:r>
      <w:r>
        <w:rPr>
          <w:sz w:val="26"/>
          <w:szCs w:val="26"/>
        </w:rPr>
        <w:tab/>
        <w:t>FirstEnergy asserts that it has incorporated such a concept in its Pl</w:t>
      </w:r>
      <w:r w:rsidR="00D335BC">
        <w:rPr>
          <w:sz w:val="26"/>
          <w:szCs w:val="26"/>
        </w:rPr>
        <w:t>an.  The Companies state</w:t>
      </w:r>
      <w:r w:rsidR="005F6AE1">
        <w:rPr>
          <w:sz w:val="26"/>
          <w:szCs w:val="26"/>
        </w:rPr>
        <w:t xml:space="preserve"> that </w:t>
      </w:r>
      <w:r>
        <w:rPr>
          <w:sz w:val="26"/>
          <w:szCs w:val="26"/>
        </w:rPr>
        <w:t>t</w:t>
      </w:r>
      <w:r w:rsidR="005F6AE1">
        <w:rPr>
          <w:sz w:val="26"/>
          <w:szCs w:val="26"/>
        </w:rPr>
        <w:t>hey</w:t>
      </w:r>
      <w:r>
        <w:rPr>
          <w:sz w:val="26"/>
          <w:szCs w:val="26"/>
        </w:rPr>
        <w:t xml:space="preserve"> will file annual reconciliation statements in accordance with Section 1307(e) detailing revenues and expenditures to date by customer class. These custo</w:t>
      </w:r>
      <w:r w:rsidR="005F6AE1">
        <w:rPr>
          <w:sz w:val="26"/>
          <w:szCs w:val="26"/>
        </w:rPr>
        <w:t>mer class-</w:t>
      </w:r>
      <w:r>
        <w:rPr>
          <w:sz w:val="26"/>
          <w:szCs w:val="26"/>
        </w:rPr>
        <w:t xml:space="preserve">specific reconciliation statements </w:t>
      </w:r>
      <w:r w:rsidR="00226AE1">
        <w:rPr>
          <w:sz w:val="26"/>
          <w:szCs w:val="26"/>
        </w:rPr>
        <w:t xml:space="preserve">will address any cumulative </w:t>
      </w:r>
      <w:r w:rsidR="00BE1219">
        <w:rPr>
          <w:sz w:val="26"/>
          <w:szCs w:val="26"/>
        </w:rPr>
        <w:t>over/under</w:t>
      </w:r>
      <w:r w:rsidR="00226AE1">
        <w:rPr>
          <w:sz w:val="26"/>
          <w:szCs w:val="26"/>
        </w:rPr>
        <w:t xml:space="preserve"> </w:t>
      </w:r>
      <w:r>
        <w:rPr>
          <w:sz w:val="26"/>
          <w:szCs w:val="26"/>
        </w:rPr>
        <w:t>collections and will provide further information as to any revisions to the budge</w:t>
      </w:r>
      <w:r w:rsidR="008B0783">
        <w:rPr>
          <w:sz w:val="26"/>
          <w:szCs w:val="26"/>
        </w:rPr>
        <w:t>t forecast for the remainder of</w:t>
      </w:r>
      <w:r>
        <w:rPr>
          <w:sz w:val="26"/>
          <w:szCs w:val="26"/>
        </w:rPr>
        <w:t xml:space="preserve"> the </w:t>
      </w:r>
      <w:r w:rsidR="008B0783">
        <w:rPr>
          <w:sz w:val="26"/>
          <w:szCs w:val="26"/>
        </w:rPr>
        <w:t xml:space="preserve">Plan </w:t>
      </w:r>
      <w:r>
        <w:rPr>
          <w:sz w:val="26"/>
          <w:szCs w:val="26"/>
        </w:rPr>
        <w:t>period by customer class.  FirstEnergy a</w:t>
      </w:r>
      <w:r w:rsidR="0064632B">
        <w:rPr>
          <w:sz w:val="26"/>
          <w:szCs w:val="26"/>
        </w:rPr>
        <w:t>sserts that the annual 1307(</w:t>
      </w:r>
      <w:r>
        <w:rPr>
          <w:sz w:val="26"/>
          <w:szCs w:val="26"/>
        </w:rPr>
        <w:t xml:space="preserve">e) hearings will provide all interested parties with an opportunity to address their concerns </w:t>
      </w:r>
      <w:r w:rsidR="008B0783">
        <w:rPr>
          <w:sz w:val="26"/>
          <w:szCs w:val="26"/>
        </w:rPr>
        <w:t>regarding</w:t>
      </w:r>
      <w:r>
        <w:rPr>
          <w:sz w:val="26"/>
          <w:szCs w:val="26"/>
        </w:rPr>
        <w:t xml:space="preserve"> customer class cost allocations.</w:t>
      </w:r>
      <w:r w:rsidR="007D6634">
        <w:rPr>
          <w:sz w:val="26"/>
          <w:szCs w:val="26"/>
        </w:rPr>
        <w:t xml:space="preserve">  FirstEnergy RB at 31-32.</w:t>
      </w:r>
    </w:p>
    <w:p w:rsidR="00623484" w:rsidRDefault="00623484" w:rsidP="007F5B3A">
      <w:pPr>
        <w:spacing w:line="360" w:lineRule="auto"/>
        <w:ind w:left="1440" w:right="1440" w:hanging="1440"/>
        <w:rPr>
          <w:sz w:val="26"/>
          <w:szCs w:val="26"/>
        </w:rPr>
      </w:pPr>
    </w:p>
    <w:p w:rsidR="004177CF" w:rsidRPr="008E7C8E" w:rsidRDefault="004177CF" w:rsidP="00940B59">
      <w:pPr>
        <w:pStyle w:val="Heading4"/>
      </w:pPr>
      <w:bookmarkStart w:id="312" w:name="_Toc242516343"/>
      <w:bookmarkStart w:id="313" w:name="_Toc244499420"/>
      <w:r>
        <w:t>b.</w:t>
      </w:r>
      <w:r w:rsidR="00B6382E">
        <w:t xml:space="preserve">  </w:t>
      </w:r>
      <w:r w:rsidR="006F4B78">
        <w:tab/>
      </w:r>
      <w:r w:rsidRPr="008E7C8E">
        <w:t>Disposition</w:t>
      </w:r>
      <w:bookmarkEnd w:id="312"/>
      <w:bookmarkEnd w:id="313"/>
    </w:p>
    <w:p w:rsidR="009E26A1" w:rsidRDefault="009E26A1" w:rsidP="009E26A1">
      <w:pPr>
        <w:spacing w:line="360" w:lineRule="auto"/>
        <w:ind w:firstLine="1440"/>
        <w:rPr>
          <w:sz w:val="26"/>
          <w:szCs w:val="26"/>
        </w:rPr>
      </w:pPr>
    </w:p>
    <w:p w:rsidR="000867F2" w:rsidRDefault="00050437" w:rsidP="00725F2C">
      <w:pPr>
        <w:spacing w:line="360" w:lineRule="auto"/>
        <w:ind w:firstLine="1440"/>
        <w:rPr>
          <w:sz w:val="26"/>
          <w:szCs w:val="26"/>
        </w:rPr>
      </w:pPr>
      <w:r>
        <w:rPr>
          <w:sz w:val="26"/>
          <w:szCs w:val="26"/>
        </w:rPr>
        <w:t>T</w:t>
      </w:r>
      <w:r w:rsidR="00FF4555">
        <w:rPr>
          <w:sz w:val="26"/>
          <w:szCs w:val="26"/>
        </w:rPr>
        <w:t xml:space="preserve">he </w:t>
      </w:r>
      <w:r w:rsidR="000867F2">
        <w:rPr>
          <w:sz w:val="26"/>
          <w:szCs w:val="26"/>
        </w:rPr>
        <w:t xml:space="preserve">September 21, 2009 Plans </w:t>
      </w:r>
      <w:r>
        <w:rPr>
          <w:sz w:val="26"/>
          <w:szCs w:val="26"/>
        </w:rPr>
        <w:t xml:space="preserve">state </w:t>
      </w:r>
      <w:r w:rsidR="000867F2">
        <w:rPr>
          <w:sz w:val="26"/>
          <w:szCs w:val="26"/>
        </w:rPr>
        <w:t xml:space="preserve">that the Companies are still in the process of developing their tracking and reporting systems, </w:t>
      </w:r>
      <w:r w:rsidR="00CA721A">
        <w:rPr>
          <w:sz w:val="26"/>
          <w:szCs w:val="26"/>
        </w:rPr>
        <w:t xml:space="preserve">which are expected </w:t>
      </w:r>
      <w:r w:rsidR="000867F2">
        <w:rPr>
          <w:sz w:val="26"/>
          <w:szCs w:val="26"/>
        </w:rPr>
        <w:t xml:space="preserve">to be in place by November 1, 2009.  The Companies are directed to provide the Commission </w:t>
      </w:r>
      <w:r w:rsidR="000867F2">
        <w:rPr>
          <w:sz w:val="26"/>
          <w:szCs w:val="26"/>
        </w:rPr>
        <w:lastRenderedPageBreak/>
        <w:t>with an update</w:t>
      </w:r>
      <w:r w:rsidR="00493006">
        <w:rPr>
          <w:sz w:val="26"/>
          <w:szCs w:val="26"/>
        </w:rPr>
        <w:t xml:space="preserve"> on these systems in their revised Plans</w:t>
      </w:r>
      <w:r w:rsidR="008B0783">
        <w:rPr>
          <w:sz w:val="26"/>
          <w:szCs w:val="26"/>
        </w:rPr>
        <w:t xml:space="preserve">.  </w:t>
      </w:r>
      <w:r w:rsidR="004B484D">
        <w:rPr>
          <w:sz w:val="26"/>
          <w:szCs w:val="26"/>
        </w:rPr>
        <w:t xml:space="preserve">We will address this topic further </w:t>
      </w:r>
      <w:r w:rsidR="00A20A91">
        <w:rPr>
          <w:sz w:val="26"/>
          <w:szCs w:val="26"/>
        </w:rPr>
        <w:t xml:space="preserve">based on the information in </w:t>
      </w:r>
      <w:r w:rsidR="004B484D">
        <w:rPr>
          <w:sz w:val="26"/>
          <w:szCs w:val="26"/>
        </w:rPr>
        <w:t>the revised Plans.</w:t>
      </w:r>
      <w:r w:rsidR="00E87457">
        <w:rPr>
          <w:sz w:val="26"/>
          <w:szCs w:val="26"/>
        </w:rPr>
        <w:t xml:space="preserve">  </w:t>
      </w:r>
    </w:p>
    <w:p w:rsidR="00E87457" w:rsidRDefault="00E87457" w:rsidP="00725F2C">
      <w:pPr>
        <w:spacing w:line="360" w:lineRule="auto"/>
        <w:ind w:firstLine="1440"/>
        <w:rPr>
          <w:sz w:val="26"/>
          <w:szCs w:val="26"/>
        </w:rPr>
      </w:pPr>
    </w:p>
    <w:p w:rsidR="006619A7" w:rsidRDefault="00323D56" w:rsidP="006619A7">
      <w:pPr>
        <w:spacing w:line="360" w:lineRule="auto"/>
        <w:ind w:firstLine="1440"/>
        <w:rPr>
          <w:sz w:val="26"/>
          <w:szCs w:val="26"/>
        </w:rPr>
      </w:pPr>
      <w:r>
        <w:rPr>
          <w:sz w:val="26"/>
          <w:szCs w:val="26"/>
        </w:rPr>
        <w:t xml:space="preserve">With regard to the OSBA’s request for “a full vetting” of the </w:t>
      </w:r>
      <w:r w:rsidR="00E866DA">
        <w:rPr>
          <w:sz w:val="26"/>
          <w:szCs w:val="26"/>
        </w:rPr>
        <w:t xml:space="preserve">EE&amp;C Plans in the annual reconciliation process, </w:t>
      </w:r>
      <w:r w:rsidR="006619A7">
        <w:rPr>
          <w:sz w:val="26"/>
          <w:szCs w:val="26"/>
        </w:rPr>
        <w:t xml:space="preserve">the Commission believes that this issue is adequately addressed in the </w:t>
      </w:r>
      <w:r w:rsidR="006619A7" w:rsidRPr="002D59DD">
        <w:rPr>
          <w:i/>
          <w:sz w:val="26"/>
          <w:szCs w:val="26"/>
        </w:rPr>
        <w:t xml:space="preserve">Implementation </w:t>
      </w:r>
      <w:r w:rsidR="006619A7">
        <w:rPr>
          <w:i/>
          <w:sz w:val="26"/>
          <w:szCs w:val="26"/>
        </w:rPr>
        <w:t>O</w:t>
      </w:r>
      <w:r w:rsidR="006619A7" w:rsidRPr="002D59DD">
        <w:rPr>
          <w:i/>
          <w:sz w:val="26"/>
          <w:szCs w:val="26"/>
        </w:rPr>
        <w:t>rder</w:t>
      </w:r>
      <w:r w:rsidR="006619A7">
        <w:rPr>
          <w:sz w:val="26"/>
          <w:szCs w:val="26"/>
        </w:rPr>
        <w:t xml:space="preserve">.  First, regarding approved plans, the Commission will permit EDCs and other interested stakeholders, as well as the statutory advocates, to propose plan changes in conjunction with the EDC’s annual report filing required by the Act at 66 Pa. C.S. § 2086.1(i)(1).  The Commission will establish a deadline for the filing of annual reports by the EDCs following approval of the EDCs’ plans.  These annual reports are to be served on the OCA, the OSBA and the OTS.  The Commission also will post the annual reports on a web page dedicated to the EE&amp;C program.  The Commission and any interested party can make a recommendation for plan improvement or object to an EDC’s proposed plan revision within thirty days of the annual report filing.  EDCs will have twenty days to file changes or the matter will be referred to an ALJ for hearings and a recommended decision.  The Commission notes that, in addition to the above-described process, the Commission retains its statutory authority to conduct investigations and initiate statutory and regulatory compliance proceedings against jurisdictional utilities.  </w:t>
      </w:r>
      <w:r w:rsidR="006619A7" w:rsidRPr="006078E0">
        <w:rPr>
          <w:i/>
          <w:sz w:val="26"/>
          <w:szCs w:val="26"/>
        </w:rPr>
        <w:t>Implementation Order</w:t>
      </w:r>
      <w:r w:rsidR="006619A7">
        <w:rPr>
          <w:sz w:val="26"/>
          <w:szCs w:val="26"/>
        </w:rPr>
        <w:t xml:space="preserve"> at 23-24.  </w:t>
      </w:r>
    </w:p>
    <w:p w:rsidR="006619A7" w:rsidRDefault="006619A7" w:rsidP="006619A7">
      <w:pPr>
        <w:spacing w:line="360" w:lineRule="auto"/>
        <w:ind w:firstLine="1440"/>
        <w:rPr>
          <w:sz w:val="26"/>
          <w:szCs w:val="26"/>
        </w:rPr>
      </w:pPr>
    </w:p>
    <w:p w:rsidR="006619A7" w:rsidRDefault="006619A7" w:rsidP="006619A7">
      <w:pPr>
        <w:spacing w:line="360" w:lineRule="auto"/>
        <w:ind w:firstLine="1440"/>
        <w:rPr>
          <w:sz w:val="26"/>
          <w:szCs w:val="26"/>
        </w:rPr>
      </w:pPr>
      <w:r>
        <w:rPr>
          <w:sz w:val="26"/>
          <w:szCs w:val="26"/>
        </w:rPr>
        <w:t xml:space="preserve">Second, consistent with the </w:t>
      </w:r>
      <w:r w:rsidRPr="00CC25D1">
        <w:rPr>
          <w:i/>
          <w:sz w:val="26"/>
          <w:szCs w:val="26"/>
        </w:rPr>
        <w:t>Implementation Order</w:t>
      </w:r>
      <w:r>
        <w:rPr>
          <w:sz w:val="26"/>
          <w:szCs w:val="26"/>
        </w:rPr>
        <w:t xml:space="preserve">, we required each subject EDC to develop a reconcilable adjustment clause tariff mechanism in accordance with 66 Pa. C.S. § 1307 and to include this mechanism in its EE&amp;C plan.  Such a mechanism shall be designed to recover, on a full and current basis from each customer class, all prudent and reasonable EE&amp;C costs that have been assigned to each class as directed.  When the EE&amp;C plans to be offered by EDCs will benefit both shopping and non-shopping customers, the cost recovery mechanism shall be non-bypassable and shall be structured such that it will not affect the EDC’s price to compare.  The mechanism shall be set forth in the EDC’s tariff, accompanied by a full and clear explanation as to its </w:t>
      </w:r>
      <w:r>
        <w:rPr>
          <w:sz w:val="26"/>
          <w:szCs w:val="26"/>
        </w:rPr>
        <w:lastRenderedPageBreak/>
        <w:t xml:space="preserve">operation and applicability to each customer class.  The tariff mechanism will be subject to an annual review and reconciliation in accordance with 66 Pa. C.S. § 1307(e).  The annual review and reconciliation for each EDC’s cost recovery mechanism will occur pursuant to a public hearing, if required due to petitions filed by intervenors, and will include an evaluation of the reasonableness of all program costs and their allocation to the applicable customer classes.  Such annual review and reconciliation will be scheduled to coincide with our review of the annual report on the EDC’s plan submitted in accordance with 66 Pa. C.S. § 2806.1(i), and all calculations and supporting documentation shall be provided at the time the report is filed.  </w:t>
      </w:r>
      <w:r w:rsidRPr="006078E0">
        <w:rPr>
          <w:i/>
          <w:sz w:val="26"/>
          <w:szCs w:val="26"/>
        </w:rPr>
        <w:t>Implementation Order</w:t>
      </w:r>
      <w:r w:rsidR="00F31FEC">
        <w:rPr>
          <w:sz w:val="26"/>
          <w:szCs w:val="26"/>
        </w:rPr>
        <w:t xml:space="preserve"> at </w:t>
      </w:r>
      <w:r>
        <w:rPr>
          <w:sz w:val="26"/>
          <w:szCs w:val="26"/>
        </w:rPr>
        <w:t xml:space="preserve">37-38.  Therefore, the Commission will not make requirements above and beyond those already stipulated in the </w:t>
      </w:r>
      <w:r w:rsidRPr="00CC25D1">
        <w:rPr>
          <w:i/>
          <w:sz w:val="26"/>
          <w:szCs w:val="26"/>
        </w:rPr>
        <w:t>Implementation Order</w:t>
      </w:r>
      <w:r>
        <w:rPr>
          <w:sz w:val="26"/>
          <w:szCs w:val="26"/>
        </w:rPr>
        <w:t xml:space="preserve"> regarding the </w:t>
      </w:r>
      <w:r w:rsidR="004F05C7">
        <w:rPr>
          <w:sz w:val="26"/>
          <w:szCs w:val="26"/>
        </w:rPr>
        <w:t>issues raised by the</w:t>
      </w:r>
      <w:r>
        <w:rPr>
          <w:sz w:val="26"/>
          <w:szCs w:val="26"/>
        </w:rPr>
        <w:t xml:space="preserve"> OSBA at this time.</w:t>
      </w:r>
      <w:r w:rsidR="00D309AB">
        <w:rPr>
          <w:sz w:val="26"/>
          <w:szCs w:val="26"/>
        </w:rPr>
        <w:t xml:space="preserve">  However, it is the Commission’s intention to provide each of the EDCs with a Secretarial letter identifying issues that the Commission would like to see addressed as well as data the Commission needs to perform its review.  That Secretarial letter will be in the nature of minimum requirements that may be expanded by each EDC and the stakeholder group, as appropriate.</w:t>
      </w:r>
    </w:p>
    <w:p w:rsidR="006619A7" w:rsidRDefault="006619A7" w:rsidP="00725F2C">
      <w:pPr>
        <w:spacing w:line="360" w:lineRule="auto"/>
        <w:ind w:firstLine="1440"/>
        <w:rPr>
          <w:sz w:val="26"/>
          <w:szCs w:val="26"/>
        </w:rPr>
      </w:pPr>
    </w:p>
    <w:p w:rsidR="009E26A1" w:rsidRPr="00352094" w:rsidRDefault="00B6382E" w:rsidP="00940B59">
      <w:pPr>
        <w:pStyle w:val="Heading3"/>
      </w:pPr>
      <w:bookmarkStart w:id="314" w:name="_Toc242516344"/>
      <w:bookmarkStart w:id="315" w:name="_Toc244499421"/>
      <w:r>
        <w:t xml:space="preserve">4.  </w:t>
      </w:r>
      <w:r w:rsidR="006F4B78">
        <w:tab/>
      </w:r>
      <w:r w:rsidR="009E26A1" w:rsidRPr="00352094">
        <w:t>Evaluation Issues</w:t>
      </w:r>
      <w:bookmarkEnd w:id="314"/>
      <w:bookmarkEnd w:id="315"/>
    </w:p>
    <w:p w:rsidR="004177CF" w:rsidRDefault="004177CF" w:rsidP="004177CF">
      <w:pPr>
        <w:spacing w:line="360" w:lineRule="auto"/>
        <w:ind w:firstLine="2160"/>
        <w:rPr>
          <w:b/>
          <w:sz w:val="26"/>
          <w:szCs w:val="26"/>
        </w:rPr>
      </w:pPr>
    </w:p>
    <w:p w:rsidR="00D838DC" w:rsidRDefault="00B70EC6" w:rsidP="00D838DC">
      <w:pPr>
        <w:spacing w:line="360" w:lineRule="auto"/>
        <w:ind w:firstLine="1440"/>
        <w:rPr>
          <w:b/>
          <w:sz w:val="26"/>
          <w:szCs w:val="26"/>
        </w:rPr>
      </w:pPr>
      <w:r>
        <w:rPr>
          <w:sz w:val="26"/>
          <w:szCs w:val="26"/>
        </w:rPr>
        <w:t xml:space="preserve">As stated above, the Commission’s EE&amp;C Program is to include an evaluation process, including a process to monitor and verify data collection, quality assurance and </w:t>
      </w:r>
      <w:r w:rsidR="003D174E">
        <w:rPr>
          <w:sz w:val="26"/>
          <w:szCs w:val="26"/>
        </w:rPr>
        <w:t xml:space="preserve">the </w:t>
      </w:r>
      <w:r>
        <w:rPr>
          <w:sz w:val="26"/>
          <w:szCs w:val="26"/>
        </w:rPr>
        <w:t xml:space="preserve">results of each plan and the program.  66 Pa. C.S. § 2806.1(a)(2).  Consistent with this requirement, each EDC’s Plan must require an annual independent evaluation of its cost-effectiveness as well as a full review of each five-year plan.  To the extent possible, the </w:t>
      </w:r>
      <w:r w:rsidR="00C8780E">
        <w:rPr>
          <w:sz w:val="26"/>
          <w:szCs w:val="26"/>
        </w:rPr>
        <w:t>P</w:t>
      </w:r>
      <w:r>
        <w:rPr>
          <w:sz w:val="26"/>
          <w:szCs w:val="26"/>
        </w:rPr>
        <w:t xml:space="preserve">lan must also state how it will be adjusted on a going-forward basis as a result of the evaluation.  </w:t>
      </w:r>
      <w:r w:rsidR="000819B2">
        <w:rPr>
          <w:sz w:val="26"/>
          <w:szCs w:val="26"/>
        </w:rPr>
        <w:t>66 Pa. C.S. § 2806.1(b)(1)(i)(J</w:t>
      </w:r>
      <w:r w:rsidR="00C8780E">
        <w:rPr>
          <w:sz w:val="26"/>
          <w:szCs w:val="26"/>
        </w:rPr>
        <w:t>).</w:t>
      </w:r>
      <w:r>
        <w:rPr>
          <w:sz w:val="26"/>
          <w:szCs w:val="26"/>
        </w:rPr>
        <w:t xml:space="preserve"> </w:t>
      </w:r>
    </w:p>
    <w:p w:rsidR="00CC06AD" w:rsidRDefault="00CC06AD" w:rsidP="004177CF">
      <w:pPr>
        <w:spacing w:line="360" w:lineRule="auto"/>
        <w:ind w:firstLine="2160"/>
        <w:rPr>
          <w:b/>
          <w:sz w:val="26"/>
          <w:szCs w:val="26"/>
        </w:rPr>
      </w:pPr>
    </w:p>
    <w:p w:rsidR="00934A95" w:rsidRDefault="00934A95">
      <w:pPr>
        <w:spacing w:after="200" w:line="276" w:lineRule="auto"/>
        <w:rPr>
          <w:rFonts w:eastAsiaTheme="majorEastAsia" w:cstheme="majorBidi"/>
          <w:b/>
          <w:bCs/>
          <w:iCs/>
          <w:sz w:val="26"/>
        </w:rPr>
      </w:pPr>
      <w:bookmarkStart w:id="316" w:name="_Toc242516345"/>
      <w:r>
        <w:br w:type="page"/>
      </w:r>
    </w:p>
    <w:p w:rsidR="004177CF" w:rsidRPr="008E7C8E" w:rsidRDefault="004177CF" w:rsidP="00940B59">
      <w:pPr>
        <w:pStyle w:val="Heading4"/>
      </w:pPr>
      <w:bookmarkStart w:id="317" w:name="_Toc244499422"/>
      <w:r>
        <w:lastRenderedPageBreak/>
        <w:t>a.</w:t>
      </w:r>
      <w:r w:rsidR="00B6382E">
        <w:t xml:space="preserve">  </w:t>
      </w:r>
      <w:r w:rsidR="006F4B78">
        <w:tab/>
      </w:r>
      <w:r w:rsidRPr="008E7C8E">
        <w:t>Positions of the Parties</w:t>
      </w:r>
      <w:bookmarkEnd w:id="316"/>
      <w:bookmarkEnd w:id="317"/>
    </w:p>
    <w:p w:rsidR="004177CF" w:rsidRDefault="004177CF" w:rsidP="004177CF">
      <w:pPr>
        <w:spacing w:line="360" w:lineRule="auto"/>
        <w:ind w:firstLine="2880"/>
        <w:rPr>
          <w:sz w:val="26"/>
          <w:szCs w:val="26"/>
        </w:rPr>
      </w:pPr>
    </w:p>
    <w:p w:rsidR="005A55C5" w:rsidRDefault="004064DA" w:rsidP="005A55C5">
      <w:pPr>
        <w:pStyle w:val="ListParagraph"/>
        <w:spacing w:line="360" w:lineRule="auto"/>
        <w:ind w:left="0" w:firstLine="1440"/>
        <w:rPr>
          <w:sz w:val="26"/>
          <w:szCs w:val="26"/>
        </w:rPr>
      </w:pPr>
      <w:r w:rsidRPr="004064DA">
        <w:rPr>
          <w:sz w:val="26"/>
          <w:szCs w:val="26"/>
        </w:rPr>
        <w:t>FirstEnergy’s evaluation strategies are contained in Section 6 of the Companies’ Plans.</w:t>
      </w:r>
      <w:r>
        <w:rPr>
          <w:sz w:val="26"/>
          <w:szCs w:val="26"/>
        </w:rPr>
        <w:t xml:space="preserve">  According to this Section</w:t>
      </w:r>
      <w:r w:rsidR="007F509E" w:rsidRPr="004064DA">
        <w:rPr>
          <w:sz w:val="26"/>
          <w:szCs w:val="26"/>
        </w:rPr>
        <w:t>, the Companies intend to retain an evaluation, monitoring and verification contractor.  This contractor</w:t>
      </w:r>
      <w:r w:rsidR="007F509E">
        <w:rPr>
          <w:sz w:val="26"/>
          <w:szCs w:val="26"/>
        </w:rPr>
        <w:t xml:space="preserve"> will identify issues that may require mid-course correction, </w:t>
      </w:r>
      <w:r w:rsidR="007F77B6">
        <w:rPr>
          <w:sz w:val="26"/>
          <w:szCs w:val="26"/>
        </w:rPr>
        <w:t xml:space="preserve">will </w:t>
      </w:r>
      <w:r w:rsidR="007F509E">
        <w:rPr>
          <w:sz w:val="26"/>
          <w:szCs w:val="26"/>
        </w:rPr>
        <w:t xml:space="preserve">gauge progress toward goals and </w:t>
      </w:r>
      <w:r w:rsidR="007F77B6">
        <w:rPr>
          <w:sz w:val="26"/>
          <w:szCs w:val="26"/>
        </w:rPr>
        <w:t xml:space="preserve">will </w:t>
      </w:r>
      <w:r w:rsidR="007F509E">
        <w:rPr>
          <w:sz w:val="26"/>
          <w:szCs w:val="26"/>
        </w:rPr>
        <w:t xml:space="preserve">measure satisfaction with programs.  </w:t>
      </w:r>
      <w:r w:rsidR="00B42D8D">
        <w:rPr>
          <w:sz w:val="26"/>
          <w:szCs w:val="26"/>
        </w:rPr>
        <w:t>FirstEnergy</w:t>
      </w:r>
      <w:r w:rsidR="007F509E">
        <w:rPr>
          <w:sz w:val="26"/>
          <w:szCs w:val="26"/>
        </w:rPr>
        <w:t xml:space="preserve">’s September 21, 2009 Plans at § 6.2.  In addition, </w:t>
      </w:r>
      <w:r w:rsidR="00B42D8D">
        <w:rPr>
          <w:sz w:val="26"/>
          <w:szCs w:val="26"/>
        </w:rPr>
        <w:t>FirstEnergy</w:t>
      </w:r>
      <w:r w:rsidR="007F509E">
        <w:rPr>
          <w:sz w:val="26"/>
          <w:szCs w:val="26"/>
        </w:rPr>
        <w:t xml:space="preserve"> </w:t>
      </w:r>
      <w:r w:rsidR="007F509E" w:rsidRPr="00725F2C">
        <w:rPr>
          <w:sz w:val="26"/>
          <w:szCs w:val="26"/>
        </w:rPr>
        <w:t>will conduct semi-annual and annual process evaluations to evaluate progress towards achieving goals and identifying issues requiring mid-course corrections.  The</w:t>
      </w:r>
      <w:r w:rsidR="007F509E">
        <w:rPr>
          <w:sz w:val="26"/>
          <w:szCs w:val="26"/>
        </w:rPr>
        <w:t xml:space="preserve"> Companies</w:t>
      </w:r>
      <w:r w:rsidR="007F509E" w:rsidRPr="00725F2C">
        <w:rPr>
          <w:sz w:val="26"/>
          <w:szCs w:val="26"/>
        </w:rPr>
        <w:t xml:space="preserve"> will</w:t>
      </w:r>
      <w:r w:rsidR="007F509E">
        <w:rPr>
          <w:sz w:val="26"/>
          <w:szCs w:val="26"/>
        </w:rPr>
        <w:t xml:space="preserve"> propose any major changes they believe </w:t>
      </w:r>
      <w:r w:rsidR="007F509E" w:rsidRPr="00725F2C">
        <w:rPr>
          <w:sz w:val="26"/>
          <w:szCs w:val="26"/>
        </w:rPr>
        <w:t xml:space="preserve">are required in </w:t>
      </w:r>
      <w:r w:rsidR="007F509E">
        <w:rPr>
          <w:sz w:val="26"/>
          <w:szCs w:val="26"/>
        </w:rPr>
        <w:t xml:space="preserve">their </w:t>
      </w:r>
      <w:r w:rsidR="007F509E" w:rsidRPr="00725F2C">
        <w:rPr>
          <w:sz w:val="26"/>
          <w:szCs w:val="26"/>
        </w:rPr>
        <w:t>annual report</w:t>
      </w:r>
      <w:r w:rsidR="007F509E">
        <w:rPr>
          <w:sz w:val="26"/>
          <w:szCs w:val="26"/>
        </w:rPr>
        <w:t xml:space="preserve">s to the Commission.  </w:t>
      </w:r>
      <w:r w:rsidR="005A55C5">
        <w:rPr>
          <w:sz w:val="26"/>
          <w:szCs w:val="26"/>
        </w:rPr>
        <w:t xml:space="preserve"> </w:t>
      </w:r>
      <w:r w:rsidR="005A55C5" w:rsidRPr="005A55C5">
        <w:rPr>
          <w:i/>
          <w:sz w:val="26"/>
          <w:szCs w:val="26"/>
        </w:rPr>
        <w:t>Id</w:t>
      </w:r>
      <w:r w:rsidR="005A55C5">
        <w:rPr>
          <w:sz w:val="26"/>
          <w:szCs w:val="26"/>
        </w:rPr>
        <w:t>. at § 1.5.</w:t>
      </w:r>
    </w:p>
    <w:p w:rsidR="007F509E" w:rsidRDefault="007F509E" w:rsidP="007C3A9E">
      <w:pPr>
        <w:pStyle w:val="ListParagraph"/>
        <w:spacing w:line="360" w:lineRule="auto"/>
        <w:ind w:left="0" w:firstLine="1440"/>
        <w:rPr>
          <w:sz w:val="26"/>
          <w:szCs w:val="26"/>
        </w:rPr>
      </w:pPr>
    </w:p>
    <w:p w:rsidR="00A227E2" w:rsidRDefault="00A227E2" w:rsidP="00A227E2">
      <w:pPr>
        <w:pStyle w:val="ListParagraph"/>
        <w:spacing w:after="200" w:line="360" w:lineRule="auto"/>
        <w:ind w:left="0"/>
        <w:rPr>
          <w:sz w:val="26"/>
          <w:szCs w:val="26"/>
        </w:rPr>
      </w:pPr>
      <w:r w:rsidRPr="00F65B88">
        <w:rPr>
          <w:sz w:val="26"/>
          <w:szCs w:val="26"/>
        </w:rPr>
        <w:tab/>
      </w:r>
      <w:r w:rsidRPr="00F65B88">
        <w:rPr>
          <w:sz w:val="26"/>
          <w:szCs w:val="26"/>
        </w:rPr>
        <w:tab/>
        <w:t xml:space="preserve">The OCA notes that the Companies’ accounting for an evaluation budget is not clearly presented in the Plans.  Also, the </w:t>
      </w:r>
      <w:r w:rsidR="00671E60">
        <w:rPr>
          <w:sz w:val="26"/>
          <w:szCs w:val="26"/>
        </w:rPr>
        <w:t xml:space="preserve">OCA argues that the </w:t>
      </w:r>
      <w:r w:rsidRPr="00F65B88">
        <w:rPr>
          <w:sz w:val="26"/>
          <w:szCs w:val="26"/>
        </w:rPr>
        <w:t xml:space="preserve">budgeting and planning for other evaluation activities is not fully developed.  The OCA asserts that there is insufficient information to determine the reasonableness of the proposed expenditures.  The OCA believes that FirstEnergy should be directed to provide more detail in </w:t>
      </w:r>
      <w:r w:rsidR="00671E60">
        <w:rPr>
          <w:sz w:val="26"/>
          <w:szCs w:val="26"/>
        </w:rPr>
        <w:t xml:space="preserve">its </w:t>
      </w:r>
      <w:r w:rsidR="003D174E">
        <w:rPr>
          <w:sz w:val="26"/>
          <w:szCs w:val="26"/>
        </w:rPr>
        <w:t>accounting of its</w:t>
      </w:r>
      <w:r w:rsidRPr="00F65B88">
        <w:rPr>
          <w:sz w:val="26"/>
          <w:szCs w:val="26"/>
        </w:rPr>
        <w:t xml:space="preserve"> evaluation budget.  OCA St. 1 at 35-36; OCA MB</w:t>
      </w:r>
      <w:r w:rsidR="00FB1686">
        <w:rPr>
          <w:sz w:val="26"/>
          <w:szCs w:val="26"/>
        </w:rPr>
        <w:t xml:space="preserve"> at</w:t>
      </w:r>
      <w:r w:rsidRPr="00F65B88">
        <w:rPr>
          <w:sz w:val="26"/>
          <w:szCs w:val="26"/>
        </w:rPr>
        <w:t xml:space="preserve"> 43-44.</w:t>
      </w:r>
    </w:p>
    <w:p w:rsidR="00F92F8A" w:rsidRPr="00F65B88" w:rsidRDefault="00F92F8A" w:rsidP="00F92F8A">
      <w:pPr>
        <w:pStyle w:val="ListParagraph"/>
        <w:spacing w:line="360" w:lineRule="auto"/>
        <w:ind w:left="0"/>
        <w:rPr>
          <w:sz w:val="26"/>
          <w:szCs w:val="26"/>
        </w:rPr>
      </w:pPr>
    </w:p>
    <w:p w:rsidR="00A227E2" w:rsidRPr="00A227E2" w:rsidRDefault="00A227E2" w:rsidP="00A227E2">
      <w:pPr>
        <w:spacing w:line="360" w:lineRule="auto"/>
        <w:ind w:firstLine="1440"/>
        <w:rPr>
          <w:sz w:val="26"/>
          <w:szCs w:val="26"/>
        </w:rPr>
      </w:pPr>
      <w:r w:rsidRPr="00A227E2">
        <w:rPr>
          <w:sz w:val="26"/>
          <w:szCs w:val="26"/>
        </w:rPr>
        <w:t>The DEP e</w:t>
      </w:r>
      <w:r w:rsidR="003D174E">
        <w:rPr>
          <w:sz w:val="26"/>
          <w:szCs w:val="26"/>
        </w:rPr>
        <w:t>xpresses concern regarding the e</w:t>
      </w:r>
      <w:r w:rsidRPr="00A227E2">
        <w:rPr>
          <w:sz w:val="26"/>
          <w:szCs w:val="26"/>
        </w:rPr>
        <w:t xml:space="preserve">valuation provisions in the Companies’ EE&amp;C Plans.  </w:t>
      </w:r>
      <w:r w:rsidR="0045368F">
        <w:rPr>
          <w:sz w:val="26"/>
          <w:szCs w:val="26"/>
        </w:rPr>
        <w:t xml:space="preserve">The </w:t>
      </w:r>
      <w:r w:rsidRPr="00A227E2">
        <w:rPr>
          <w:sz w:val="26"/>
          <w:szCs w:val="26"/>
        </w:rPr>
        <w:t>DEP asserts that the Companies</w:t>
      </w:r>
      <w:r w:rsidR="0045368F">
        <w:rPr>
          <w:sz w:val="26"/>
          <w:szCs w:val="26"/>
        </w:rPr>
        <w:t>’</w:t>
      </w:r>
      <w:r w:rsidRPr="00A227E2">
        <w:rPr>
          <w:sz w:val="26"/>
          <w:szCs w:val="26"/>
        </w:rPr>
        <w:t xml:space="preserve"> evaluation, measurement and verification Plan should be rigorous, continual and open.  The DEP also recommends that the Commission establish criteria </w:t>
      </w:r>
      <w:r w:rsidR="00750BFC">
        <w:rPr>
          <w:sz w:val="26"/>
          <w:szCs w:val="26"/>
        </w:rPr>
        <w:t xml:space="preserve">clarifying the types of </w:t>
      </w:r>
      <w:r w:rsidRPr="00A227E2">
        <w:rPr>
          <w:sz w:val="26"/>
          <w:szCs w:val="26"/>
        </w:rPr>
        <w:t>plan changes</w:t>
      </w:r>
      <w:r w:rsidR="00750BFC">
        <w:rPr>
          <w:sz w:val="26"/>
          <w:szCs w:val="26"/>
        </w:rPr>
        <w:t xml:space="preserve"> that </w:t>
      </w:r>
      <w:r w:rsidRPr="00A227E2">
        <w:rPr>
          <w:sz w:val="26"/>
          <w:szCs w:val="26"/>
        </w:rPr>
        <w:t xml:space="preserve">require Commission approval.  The DEP </w:t>
      </w:r>
      <w:r w:rsidR="00750BFC">
        <w:rPr>
          <w:sz w:val="26"/>
          <w:szCs w:val="26"/>
        </w:rPr>
        <w:t xml:space="preserve">recommends </w:t>
      </w:r>
      <w:r w:rsidRPr="00A227E2">
        <w:rPr>
          <w:sz w:val="26"/>
          <w:szCs w:val="26"/>
        </w:rPr>
        <w:t xml:space="preserve">that </w:t>
      </w:r>
      <w:r w:rsidR="00750BFC">
        <w:rPr>
          <w:sz w:val="26"/>
          <w:szCs w:val="26"/>
        </w:rPr>
        <w:t xml:space="preserve">no program should be eliminated without </w:t>
      </w:r>
      <w:r w:rsidRPr="00A227E2">
        <w:rPr>
          <w:sz w:val="26"/>
          <w:szCs w:val="26"/>
        </w:rPr>
        <w:t>Commission</w:t>
      </w:r>
      <w:r w:rsidR="00750BFC">
        <w:rPr>
          <w:sz w:val="26"/>
          <w:szCs w:val="26"/>
        </w:rPr>
        <w:t xml:space="preserve"> approval, </w:t>
      </w:r>
      <w:r w:rsidR="004D7F52">
        <w:rPr>
          <w:sz w:val="26"/>
          <w:szCs w:val="26"/>
        </w:rPr>
        <w:t xml:space="preserve">and </w:t>
      </w:r>
      <w:r w:rsidR="00750BFC">
        <w:rPr>
          <w:sz w:val="26"/>
          <w:szCs w:val="26"/>
        </w:rPr>
        <w:t>any shifting of money from one customer class to another should require Commission approval</w:t>
      </w:r>
      <w:r w:rsidR="004D7F52">
        <w:rPr>
          <w:sz w:val="26"/>
          <w:szCs w:val="26"/>
        </w:rPr>
        <w:t xml:space="preserve">.  The DEP further recommends that </w:t>
      </w:r>
      <w:r w:rsidR="003D174E">
        <w:rPr>
          <w:sz w:val="26"/>
          <w:szCs w:val="26"/>
        </w:rPr>
        <w:t xml:space="preserve">no more than </w:t>
      </w:r>
      <w:r w:rsidR="00B646BC">
        <w:rPr>
          <w:sz w:val="26"/>
          <w:szCs w:val="26"/>
        </w:rPr>
        <w:t>10%</w:t>
      </w:r>
      <w:r w:rsidR="004D7F52">
        <w:rPr>
          <w:sz w:val="26"/>
          <w:szCs w:val="26"/>
        </w:rPr>
        <w:t xml:space="preserve"> of the annual budget for a customer class </w:t>
      </w:r>
      <w:r w:rsidR="003D174E">
        <w:rPr>
          <w:sz w:val="26"/>
          <w:szCs w:val="26"/>
        </w:rPr>
        <w:t xml:space="preserve">can </w:t>
      </w:r>
      <w:r w:rsidR="004D7F52">
        <w:rPr>
          <w:sz w:val="26"/>
          <w:szCs w:val="26"/>
        </w:rPr>
        <w:t>be shifted within the same customer class without Commission</w:t>
      </w:r>
      <w:r w:rsidR="004D7F52" w:rsidRPr="00A227E2">
        <w:rPr>
          <w:sz w:val="26"/>
          <w:szCs w:val="26"/>
        </w:rPr>
        <w:t xml:space="preserve"> </w:t>
      </w:r>
      <w:r w:rsidR="004D7F52">
        <w:rPr>
          <w:sz w:val="26"/>
          <w:szCs w:val="26"/>
        </w:rPr>
        <w:t xml:space="preserve">approval.  </w:t>
      </w:r>
      <w:r w:rsidRPr="00A227E2">
        <w:rPr>
          <w:sz w:val="26"/>
          <w:szCs w:val="26"/>
        </w:rPr>
        <w:t xml:space="preserve">DEP MB at 12.  </w:t>
      </w:r>
    </w:p>
    <w:p w:rsidR="00A227E2" w:rsidRPr="00A227E2" w:rsidRDefault="00A227E2" w:rsidP="00A227E2">
      <w:pPr>
        <w:spacing w:line="360" w:lineRule="auto"/>
        <w:ind w:firstLine="1440"/>
        <w:rPr>
          <w:sz w:val="26"/>
          <w:szCs w:val="26"/>
        </w:rPr>
      </w:pPr>
    </w:p>
    <w:p w:rsidR="00A227E2" w:rsidRPr="00A227E2" w:rsidRDefault="00A227E2" w:rsidP="00A227E2">
      <w:pPr>
        <w:spacing w:line="360" w:lineRule="auto"/>
        <w:ind w:firstLine="1440"/>
        <w:rPr>
          <w:sz w:val="26"/>
          <w:szCs w:val="26"/>
        </w:rPr>
      </w:pPr>
      <w:r w:rsidRPr="00A227E2">
        <w:rPr>
          <w:sz w:val="26"/>
          <w:szCs w:val="26"/>
        </w:rPr>
        <w:lastRenderedPageBreak/>
        <w:t xml:space="preserve">FirstEnergy disagrees with the DEP’s </w:t>
      </w:r>
      <w:r w:rsidR="00652429">
        <w:rPr>
          <w:sz w:val="26"/>
          <w:szCs w:val="26"/>
        </w:rPr>
        <w:t xml:space="preserve">concerns regarding </w:t>
      </w:r>
      <w:r w:rsidRPr="00A227E2">
        <w:rPr>
          <w:sz w:val="26"/>
          <w:szCs w:val="26"/>
        </w:rPr>
        <w:t xml:space="preserve">its evaluation process.  FirstEnergy states that it has adhered to the Commission’s TRM whenever available for a measure </w:t>
      </w:r>
      <w:r w:rsidR="0081244E">
        <w:rPr>
          <w:sz w:val="26"/>
          <w:szCs w:val="26"/>
        </w:rPr>
        <w:t>and the Companies</w:t>
      </w:r>
      <w:r w:rsidRPr="00A227E2">
        <w:rPr>
          <w:sz w:val="26"/>
          <w:szCs w:val="26"/>
        </w:rPr>
        <w:t xml:space="preserve"> intend to employ evaluation, measurement and verification protocols that will continually and accurately collect and catalog program results.  FirstEnergy insists that the openness of the evaluation, measurement and verification process has been assured as a result of the Commission’s use of a </w:t>
      </w:r>
      <w:r w:rsidR="001A005F">
        <w:rPr>
          <w:sz w:val="26"/>
          <w:szCs w:val="26"/>
        </w:rPr>
        <w:t>Statewide E</w:t>
      </w:r>
      <w:r w:rsidRPr="00A227E2">
        <w:rPr>
          <w:sz w:val="26"/>
          <w:szCs w:val="26"/>
        </w:rPr>
        <w:t>valuator that will work closely with the EDCs and the continuation of stakeholder meetings started</w:t>
      </w:r>
      <w:r w:rsidR="0047627F">
        <w:rPr>
          <w:sz w:val="26"/>
          <w:szCs w:val="26"/>
        </w:rPr>
        <w:t xml:space="preserve"> during the development of the</w:t>
      </w:r>
      <w:r w:rsidRPr="00A227E2">
        <w:rPr>
          <w:sz w:val="26"/>
          <w:szCs w:val="26"/>
        </w:rPr>
        <w:t xml:space="preserve"> </w:t>
      </w:r>
      <w:r w:rsidR="003171EE">
        <w:rPr>
          <w:sz w:val="26"/>
          <w:szCs w:val="26"/>
        </w:rPr>
        <w:t>EE&amp;C plans.  FirstEnergy St.</w:t>
      </w:r>
      <w:r w:rsidR="00F31FEC">
        <w:rPr>
          <w:sz w:val="26"/>
          <w:szCs w:val="26"/>
        </w:rPr>
        <w:t> </w:t>
      </w:r>
      <w:r w:rsidRPr="00A227E2">
        <w:rPr>
          <w:sz w:val="26"/>
          <w:szCs w:val="26"/>
        </w:rPr>
        <w:t>2-R at 19; FirstEnergy MB at 53.</w:t>
      </w:r>
    </w:p>
    <w:p w:rsidR="00463624" w:rsidRDefault="00463624" w:rsidP="004177CF">
      <w:pPr>
        <w:spacing w:line="360" w:lineRule="auto"/>
        <w:ind w:firstLine="2880"/>
        <w:rPr>
          <w:sz w:val="26"/>
          <w:szCs w:val="26"/>
        </w:rPr>
      </w:pPr>
    </w:p>
    <w:p w:rsidR="004177CF" w:rsidRPr="008E7C8E" w:rsidRDefault="004177CF" w:rsidP="00940B59">
      <w:pPr>
        <w:pStyle w:val="Heading4"/>
      </w:pPr>
      <w:bookmarkStart w:id="318" w:name="_Toc242516346"/>
      <w:bookmarkStart w:id="319" w:name="_Toc244499423"/>
      <w:r>
        <w:t>b.</w:t>
      </w:r>
      <w:r w:rsidR="00B6382E">
        <w:t xml:space="preserve">  </w:t>
      </w:r>
      <w:r w:rsidR="006F4B78">
        <w:tab/>
      </w:r>
      <w:r w:rsidRPr="008E7C8E">
        <w:t>Disposition</w:t>
      </w:r>
      <w:bookmarkEnd w:id="318"/>
      <w:bookmarkEnd w:id="319"/>
    </w:p>
    <w:p w:rsidR="009E26A1" w:rsidRDefault="009E26A1" w:rsidP="009E26A1">
      <w:pPr>
        <w:spacing w:line="360" w:lineRule="auto"/>
        <w:ind w:firstLine="1440"/>
        <w:rPr>
          <w:sz w:val="26"/>
          <w:szCs w:val="26"/>
        </w:rPr>
      </w:pPr>
    </w:p>
    <w:p w:rsidR="00F047AC" w:rsidRDefault="00623D6C" w:rsidP="0026295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 xml:space="preserve">Regarding </w:t>
      </w:r>
      <w:r w:rsidR="0052113D">
        <w:rPr>
          <w:sz w:val="26"/>
          <w:szCs w:val="26"/>
        </w:rPr>
        <w:t xml:space="preserve">the </w:t>
      </w:r>
      <w:r>
        <w:rPr>
          <w:sz w:val="26"/>
          <w:szCs w:val="26"/>
        </w:rPr>
        <w:t>O</w:t>
      </w:r>
      <w:r w:rsidR="004649C2">
        <w:rPr>
          <w:sz w:val="26"/>
          <w:szCs w:val="26"/>
        </w:rPr>
        <w:t xml:space="preserve">CA’s concerns about the adequacy of the </w:t>
      </w:r>
      <w:r w:rsidR="00F047AC">
        <w:rPr>
          <w:sz w:val="26"/>
          <w:szCs w:val="26"/>
        </w:rPr>
        <w:t xml:space="preserve">budgetary and other </w:t>
      </w:r>
      <w:r w:rsidR="004649C2">
        <w:rPr>
          <w:sz w:val="26"/>
          <w:szCs w:val="26"/>
        </w:rPr>
        <w:t xml:space="preserve">information in the Plans </w:t>
      </w:r>
      <w:r w:rsidR="00F047AC">
        <w:rPr>
          <w:sz w:val="26"/>
          <w:szCs w:val="26"/>
        </w:rPr>
        <w:t xml:space="preserve">pertaining to evaluation activities, we direct </w:t>
      </w:r>
      <w:r>
        <w:rPr>
          <w:sz w:val="26"/>
          <w:szCs w:val="26"/>
        </w:rPr>
        <w:t xml:space="preserve">FirstEnergy to provide </w:t>
      </w:r>
      <w:r w:rsidR="00F047AC">
        <w:rPr>
          <w:sz w:val="26"/>
          <w:szCs w:val="26"/>
        </w:rPr>
        <w:t xml:space="preserve">more detailed </w:t>
      </w:r>
      <w:r>
        <w:rPr>
          <w:sz w:val="26"/>
          <w:szCs w:val="26"/>
        </w:rPr>
        <w:t xml:space="preserve">information </w:t>
      </w:r>
      <w:r w:rsidR="00F047AC">
        <w:rPr>
          <w:sz w:val="26"/>
          <w:szCs w:val="26"/>
        </w:rPr>
        <w:t xml:space="preserve">in the revised Plan that is due within sixty days of entry of this </w:t>
      </w:r>
      <w:r w:rsidR="003A5D24">
        <w:rPr>
          <w:sz w:val="26"/>
          <w:szCs w:val="26"/>
        </w:rPr>
        <w:t>Opinion and Order</w:t>
      </w:r>
      <w:r w:rsidR="00F047AC">
        <w:rPr>
          <w:sz w:val="26"/>
          <w:szCs w:val="26"/>
        </w:rPr>
        <w:t>.</w:t>
      </w:r>
      <w:r w:rsidR="00354B2A">
        <w:rPr>
          <w:sz w:val="26"/>
          <w:szCs w:val="26"/>
        </w:rPr>
        <w:t xml:space="preserve">  </w:t>
      </w:r>
      <w:r w:rsidR="00351756">
        <w:rPr>
          <w:sz w:val="26"/>
          <w:szCs w:val="26"/>
        </w:rPr>
        <w:t xml:space="preserve">We </w:t>
      </w:r>
      <w:r w:rsidR="00354B2A">
        <w:rPr>
          <w:sz w:val="26"/>
          <w:szCs w:val="26"/>
        </w:rPr>
        <w:t xml:space="preserve">will address this topic further </w:t>
      </w:r>
      <w:r w:rsidR="00430926">
        <w:rPr>
          <w:sz w:val="26"/>
          <w:szCs w:val="26"/>
        </w:rPr>
        <w:t xml:space="preserve">based on the information in the revised </w:t>
      </w:r>
      <w:r w:rsidR="00354B2A">
        <w:rPr>
          <w:sz w:val="26"/>
          <w:szCs w:val="26"/>
        </w:rPr>
        <w:t>Plans.</w:t>
      </w:r>
    </w:p>
    <w:p w:rsidR="00F047AC" w:rsidRDefault="00F047AC" w:rsidP="0026295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184E1C" w:rsidRDefault="00262958" w:rsidP="0026295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7F241C">
        <w:rPr>
          <w:sz w:val="26"/>
          <w:szCs w:val="26"/>
        </w:rPr>
        <w:t xml:space="preserve">Regarding </w:t>
      </w:r>
      <w:r>
        <w:rPr>
          <w:sz w:val="26"/>
          <w:szCs w:val="26"/>
        </w:rPr>
        <w:t xml:space="preserve">the </w:t>
      </w:r>
      <w:r w:rsidRPr="007F241C">
        <w:rPr>
          <w:sz w:val="26"/>
          <w:szCs w:val="26"/>
        </w:rPr>
        <w:t>DEP’s concerns about plan adjustments outside the annual review process, we find that an EDC cannot shift program funds within a customer class, or between customer classes without prior Commission approval.  Doing so would constitute a modification of the EDC’s approved plan.  The General Assembly authorized the Commission, not the EDC, to make decisions in rega</w:t>
      </w:r>
      <w:r w:rsidR="00F31FEC">
        <w:rPr>
          <w:sz w:val="26"/>
          <w:szCs w:val="26"/>
        </w:rPr>
        <w:t>rd to modifying an approved Act </w:t>
      </w:r>
      <w:r w:rsidRPr="007F241C">
        <w:rPr>
          <w:sz w:val="26"/>
          <w:szCs w:val="26"/>
        </w:rPr>
        <w:t xml:space="preserve">129 plan. </w:t>
      </w:r>
    </w:p>
    <w:p w:rsidR="00184E1C" w:rsidRDefault="00184E1C" w:rsidP="0026295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262958" w:rsidRPr="007F241C" w:rsidRDefault="00262958" w:rsidP="0026295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7F241C">
        <w:rPr>
          <w:sz w:val="26"/>
          <w:szCs w:val="26"/>
        </w:rPr>
        <w:t xml:space="preserve">Section 2806.1(b)(2) expressly states that the “Commission shall direct” an EDC to modify or terminate any part of its approved plan if, after an adequate period for implementation, “the Commission determines that an energy efficiency or conservation measure will not achieve the required reductions in consumption in a cost-effective </w:t>
      </w:r>
      <w:r w:rsidRPr="007F241C">
        <w:rPr>
          <w:sz w:val="26"/>
          <w:szCs w:val="26"/>
        </w:rPr>
        <w:lastRenderedPageBreak/>
        <w:t>manner.”  66 Pa. C.S. § 2806.1(b)(2).  Section 2806.1(b)(3) sets forth the action an EDC is required to take in re</w:t>
      </w:r>
      <w:r w:rsidR="0047627F">
        <w:rPr>
          <w:sz w:val="26"/>
          <w:szCs w:val="26"/>
        </w:rPr>
        <w:t>sponse to a Commission directive</w:t>
      </w:r>
      <w:r w:rsidRPr="007F241C">
        <w:rPr>
          <w:sz w:val="26"/>
          <w:szCs w:val="26"/>
        </w:rPr>
        <w:t xml:space="preserve"> to modify or terminate part of the approved plan.  Specifically, the EDC is required to submit a revised plan describing the actions to be taken, to offer substitute measures, or to increase the availability of existing measures in the plan to achieve the reductions in consumption.  66 Pa. C.S. § 2806.1(b)(3).</w:t>
      </w:r>
    </w:p>
    <w:p w:rsidR="00262958" w:rsidRPr="005B4C03" w:rsidRDefault="00262958" w:rsidP="0026295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262958" w:rsidRPr="005B4C03" w:rsidRDefault="00262958" w:rsidP="0026295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5B4C03">
        <w:rPr>
          <w:sz w:val="26"/>
          <w:szCs w:val="26"/>
        </w:rPr>
        <w:t xml:space="preserve">Because FirstEnergy’s Act 129 Plan </w:t>
      </w:r>
      <w:r w:rsidR="00D40FE1">
        <w:rPr>
          <w:sz w:val="26"/>
          <w:szCs w:val="26"/>
        </w:rPr>
        <w:t xml:space="preserve">will be approved by Commission </w:t>
      </w:r>
      <w:r w:rsidR="00CA5464">
        <w:rPr>
          <w:sz w:val="26"/>
          <w:szCs w:val="26"/>
        </w:rPr>
        <w:t>o</w:t>
      </w:r>
      <w:r w:rsidRPr="005B4C03">
        <w:rPr>
          <w:sz w:val="26"/>
          <w:szCs w:val="26"/>
        </w:rPr>
        <w:t xml:space="preserve">rder, procedures for rescission and amendment of Commission orders must be followed to amend that order and to assure due process for all affected parties.  </w:t>
      </w:r>
      <w:r w:rsidRPr="00CA5464">
        <w:rPr>
          <w:i/>
          <w:sz w:val="26"/>
          <w:szCs w:val="26"/>
        </w:rPr>
        <w:t>See</w:t>
      </w:r>
      <w:r w:rsidRPr="005B4C03">
        <w:rPr>
          <w:sz w:val="26"/>
          <w:szCs w:val="26"/>
        </w:rPr>
        <w:t xml:space="preserve"> 66 Pa. C.S. § 703(g) (relating to fixing of hearing: rescission and amendment of orders).  Accordingly, if any Compan</w:t>
      </w:r>
      <w:r w:rsidR="0047627F">
        <w:rPr>
          <w:sz w:val="26"/>
          <w:szCs w:val="26"/>
        </w:rPr>
        <w:t>y</w:t>
      </w:r>
      <w:r w:rsidRPr="005B4C03">
        <w:rPr>
          <w:sz w:val="26"/>
          <w:szCs w:val="26"/>
        </w:rPr>
        <w:t xml:space="preserve"> believe</w:t>
      </w:r>
      <w:r w:rsidR="0047627F">
        <w:rPr>
          <w:sz w:val="26"/>
          <w:szCs w:val="26"/>
        </w:rPr>
        <w:t>s</w:t>
      </w:r>
      <w:r w:rsidRPr="005B4C03">
        <w:rPr>
          <w:sz w:val="26"/>
          <w:szCs w:val="26"/>
        </w:rPr>
        <w:t xml:space="preserve"> </w:t>
      </w:r>
      <w:r w:rsidR="0047627F">
        <w:rPr>
          <w:sz w:val="26"/>
          <w:szCs w:val="26"/>
        </w:rPr>
        <w:t xml:space="preserve">that </w:t>
      </w:r>
      <w:r w:rsidRPr="005B4C03">
        <w:rPr>
          <w:sz w:val="26"/>
          <w:szCs w:val="26"/>
        </w:rPr>
        <w:t>it is necessary to modify its Act 129 Plan, that Company may file a petition requesting that the Commission rescind and amend</w:t>
      </w:r>
      <w:r w:rsidR="00CA5464">
        <w:rPr>
          <w:sz w:val="26"/>
          <w:szCs w:val="26"/>
        </w:rPr>
        <w:t xml:space="preserve"> its prior order approving the P</w:t>
      </w:r>
      <w:r w:rsidRPr="005B4C03">
        <w:rPr>
          <w:sz w:val="26"/>
          <w:szCs w:val="26"/>
        </w:rPr>
        <w:t xml:space="preserve">lan.  </w:t>
      </w:r>
      <w:r w:rsidRPr="00CA5464">
        <w:rPr>
          <w:i/>
          <w:sz w:val="26"/>
          <w:szCs w:val="26"/>
        </w:rPr>
        <w:t>See</w:t>
      </w:r>
      <w:r w:rsidRPr="005B4C03">
        <w:rPr>
          <w:sz w:val="26"/>
          <w:szCs w:val="26"/>
        </w:rPr>
        <w:t xml:space="preserve"> 52 Pa. Code §§ 5.41 (relat</w:t>
      </w:r>
      <w:r w:rsidR="00F31FEC">
        <w:rPr>
          <w:sz w:val="26"/>
          <w:szCs w:val="26"/>
        </w:rPr>
        <w:t>ing to petitions generally) and </w:t>
      </w:r>
      <w:r w:rsidRPr="005B4C03">
        <w:rPr>
          <w:sz w:val="26"/>
          <w:szCs w:val="26"/>
        </w:rPr>
        <w:t xml:space="preserve">5.572 (relating to petitions for relief).  </w:t>
      </w:r>
    </w:p>
    <w:p w:rsidR="00262958" w:rsidRPr="005B4C03" w:rsidRDefault="00262958" w:rsidP="0026295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262958" w:rsidRPr="005B4C03" w:rsidRDefault="00262958" w:rsidP="0026295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5B4C03">
        <w:rPr>
          <w:sz w:val="26"/>
          <w:szCs w:val="26"/>
        </w:rPr>
        <w:t>The EDC’s petition should explain the specific reasons supporting its requested modificati</w:t>
      </w:r>
      <w:r w:rsidR="00CA5464">
        <w:rPr>
          <w:sz w:val="26"/>
          <w:szCs w:val="26"/>
        </w:rPr>
        <w:t>ons to its approved P</w:t>
      </w:r>
      <w:r w:rsidRPr="005B4C03">
        <w:rPr>
          <w:sz w:val="26"/>
          <w:szCs w:val="26"/>
        </w:rPr>
        <w:t>lan, i.e., the shifting of funds between programs or customer classes, the discontinuation of a program, etc.  The petition should also contain a request to modify its cost recovery mechanism.  Evidence supporting the modification of t</w:t>
      </w:r>
      <w:r w:rsidR="00CA5464">
        <w:rPr>
          <w:sz w:val="26"/>
          <w:szCs w:val="26"/>
        </w:rPr>
        <w:t>he P</w:t>
      </w:r>
      <w:r w:rsidRPr="005B4C03">
        <w:rPr>
          <w:sz w:val="26"/>
          <w:szCs w:val="26"/>
        </w:rPr>
        <w:t>lan and the cost recovery mechanism shall be submitted with the petition.  The petition shall be served on all parties</w:t>
      </w:r>
      <w:r w:rsidR="00F31FEC">
        <w:rPr>
          <w:sz w:val="26"/>
          <w:szCs w:val="26"/>
        </w:rPr>
        <w:t xml:space="preserve"> participating in the EDC’s Act </w:t>
      </w:r>
      <w:r w:rsidRPr="005B4C03">
        <w:rPr>
          <w:sz w:val="26"/>
          <w:szCs w:val="26"/>
        </w:rPr>
        <w:t>129 Plan proceeding.  If the EDC believes that the need for modification of its plan is immediate, the EDC can request expedited consideration of its petition.</w:t>
      </w:r>
    </w:p>
    <w:p w:rsidR="00B52866" w:rsidRDefault="00B52866">
      <w:pPr>
        <w:spacing w:after="200" w:line="276" w:lineRule="auto"/>
        <w:rPr>
          <w:rFonts w:eastAsiaTheme="majorEastAsia" w:cstheme="majorBidi"/>
          <w:b/>
          <w:bCs/>
          <w:sz w:val="26"/>
          <w:szCs w:val="26"/>
        </w:rPr>
      </w:pPr>
      <w:bookmarkStart w:id="320" w:name="_Toc242516347"/>
    </w:p>
    <w:p w:rsidR="00934A95" w:rsidRDefault="00934A95">
      <w:pPr>
        <w:spacing w:after="200" w:line="276" w:lineRule="auto"/>
        <w:rPr>
          <w:rFonts w:eastAsiaTheme="majorEastAsia" w:cstheme="majorBidi"/>
          <w:b/>
          <w:bCs/>
          <w:sz w:val="26"/>
          <w:szCs w:val="26"/>
        </w:rPr>
      </w:pPr>
      <w:r>
        <w:br w:type="page"/>
      </w:r>
    </w:p>
    <w:p w:rsidR="009E26A1" w:rsidRPr="00352094" w:rsidRDefault="00B6382E" w:rsidP="00940B59">
      <w:pPr>
        <w:pStyle w:val="Heading2"/>
      </w:pPr>
      <w:bookmarkStart w:id="321" w:name="_Toc244499424"/>
      <w:r>
        <w:lastRenderedPageBreak/>
        <w:t xml:space="preserve">E.  </w:t>
      </w:r>
      <w:r w:rsidR="006F4B78">
        <w:tab/>
      </w:r>
      <w:r w:rsidR="009E26A1" w:rsidRPr="00352094">
        <w:t>Other Issues</w:t>
      </w:r>
      <w:bookmarkEnd w:id="320"/>
      <w:bookmarkEnd w:id="321"/>
      <w:r w:rsidR="00C648E8">
        <w:t xml:space="preserve">  </w:t>
      </w:r>
    </w:p>
    <w:p w:rsidR="004177CF" w:rsidRDefault="004177CF" w:rsidP="004177CF">
      <w:pPr>
        <w:spacing w:line="360" w:lineRule="auto"/>
        <w:ind w:firstLine="2160"/>
        <w:rPr>
          <w:b/>
          <w:sz w:val="26"/>
          <w:szCs w:val="26"/>
        </w:rPr>
      </w:pPr>
    </w:p>
    <w:p w:rsidR="00C648E8" w:rsidRPr="00C648E8" w:rsidRDefault="004177CF" w:rsidP="00A01A36">
      <w:pPr>
        <w:pStyle w:val="Heading3"/>
        <w:spacing w:line="240" w:lineRule="auto"/>
        <w:ind w:left="2160" w:hanging="720"/>
        <w:rPr>
          <w:b w:val="0"/>
          <w:szCs w:val="26"/>
        </w:rPr>
      </w:pPr>
      <w:bookmarkStart w:id="322" w:name="_Toc242516348"/>
      <w:bookmarkStart w:id="323" w:name="_Toc244499425"/>
      <w:r>
        <w:t>1.</w:t>
      </w:r>
      <w:r w:rsidR="00B6382E">
        <w:t xml:space="preserve">  </w:t>
      </w:r>
      <w:r w:rsidR="006F4B78">
        <w:tab/>
      </w:r>
      <w:r w:rsidR="00C648E8" w:rsidRPr="00C648E8">
        <w:rPr>
          <w:szCs w:val="26"/>
        </w:rPr>
        <w:t xml:space="preserve">Projects </w:t>
      </w:r>
      <w:r w:rsidR="0052113D">
        <w:rPr>
          <w:szCs w:val="26"/>
        </w:rPr>
        <w:t>I</w:t>
      </w:r>
      <w:r w:rsidR="0047627F">
        <w:rPr>
          <w:szCs w:val="26"/>
        </w:rPr>
        <w:t xml:space="preserve">nstalled </w:t>
      </w:r>
      <w:r w:rsidR="0052113D">
        <w:rPr>
          <w:szCs w:val="26"/>
        </w:rPr>
        <w:t>B</w:t>
      </w:r>
      <w:r w:rsidR="00C648E8" w:rsidRPr="00C648E8">
        <w:rPr>
          <w:szCs w:val="26"/>
        </w:rPr>
        <w:t xml:space="preserve">etween July 1, 2009, and Commission </w:t>
      </w:r>
      <w:r w:rsidR="0052113D">
        <w:rPr>
          <w:szCs w:val="26"/>
        </w:rPr>
        <w:t>A</w:t>
      </w:r>
      <w:r w:rsidR="00C648E8" w:rsidRPr="00C648E8">
        <w:rPr>
          <w:szCs w:val="26"/>
        </w:rPr>
        <w:t>pproval of the Plans</w:t>
      </w:r>
      <w:bookmarkEnd w:id="322"/>
      <w:bookmarkEnd w:id="323"/>
    </w:p>
    <w:p w:rsidR="00C648E8" w:rsidRPr="00C648E8" w:rsidRDefault="00C648E8" w:rsidP="00A01A36">
      <w:pPr>
        <w:spacing w:line="360" w:lineRule="auto"/>
        <w:rPr>
          <w:b/>
          <w:sz w:val="26"/>
          <w:szCs w:val="26"/>
        </w:rPr>
      </w:pPr>
    </w:p>
    <w:p w:rsidR="00A01A36" w:rsidRDefault="00A01A36" w:rsidP="00A01A36">
      <w:pPr>
        <w:pStyle w:val="Heading4"/>
      </w:pPr>
      <w:bookmarkStart w:id="324" w:name="_Toc242516349"/>
      <w:bookmarkStart w:id="325" w:name="_Toc244499426"/>
      <w:r>
        <w:t>a.</w:t>
      </w:r>
      <w:r>
        <w:tab/>
        <w:t>Positions of the Parties</w:t>
      </w:r>
      <w:bookmarkEnd w:id="324"/>
      <w:bookmarkEnd w:id="325"/>
      <w:r w:rsidR="00C648E8" w:rsidRPr="00C648E8">
        <w:tab/>
      </w:r>
      <w:r w:rsidR="00C648E8" w:rsidRPr="00C648E8">
        <w:tab/>
      </w:r>
    </w:p>
    <w:p w:rsidR="00A01A36" w:rsidRDefault="00A01A36" w:rsidP="00A01A36">
      <w:pPr>
        <w:spacing w:line="360" w:lineRule="auto"/>
        <w:rPr>
          <w:sz w:val="26"/>
          <w:szCs w:val="26"/>
        </w:rPr>
      </w:pPr>
    </w:p>
    <w:p w:rsidR="00C648E8" w:rsidRPr="00C648E8" w:rsidRDefault="00C648E8" w:rsidP="00D67B3F">
      <w:pPr>
        <w:spacing w:line="360" w:lineRule="auto"/>
        <w:ind w:firstLine="1440"/>
        <w:rPr>
          <w:sz w:val="26"/>
          <w:szCs w:val="26"/>
        </w:rPr>
      </w:pPr>
      <w:r w:rsidRPr="00C648E8">
        <w:rPr>
          <w:sz w:val="26"/>
          <w:szCs w:val="26"/>
        </w:rPr>
        <w:t xml:space="preserve">FDSI submits that the Commission should allow FirstEnergy to </w:t>
      </w:r>
      <w:r w:rsidR="00D67B3F">
        <w:rPr>
          <w:sz w:val="26"/>
          <w:szCs w:val="26"/>
        </w:rPr>
        <w:t>“</w:t>
      </w:r>
      <w:r w:rsidRPr="00C648E8">
        <w:rPr>
          <w:sz w:val="26"/>
          <w:szCs w:val="26"/>
        </w:rPr>
        <w:t>grandfather proposed and existing projects for customers that install or commit to install qualifying equipment or services under its EE&amp;C Plans between July 1, 2009, and Commission approval of the Plans.</w:t>
      </w:r>
      <w:r w:rsidR="003A104E">
        <w:rPr>
          <w:sz w:val="26"/>
          <w:szCs w:val="26"/>
        </w:rPr>
        <w:t>”  FDSI MB at 17.</w:t>
      </w:r>
      <w:r w:rsidRPr="00C648E8">
        <w:rPr>
          <w:sz w:val="26"/>
          <w:szCs w:val="26"/>
        </w:rPr>
        <w:t xml:space="preserve">  FDSI posits that Act 129 </w:t>
      </w:r>
      <w:r w:rsidR="00D3381C">
        <w:rPr>
          <w:sz w:val="26"/>
          <w:szCs w:val="26"/>
        </w:rPr>
        <w:t>permits such treatment because “</w:t>
      </w:r>
      <w:r w:rsidRPr="00C648E8">
        <w:rPr>
          <w:sz w:val="26"/>
          <w:szCs w:val="26"/>
        </w:rPr>
        <w:t xml:space="preserve">energy efficiency and conservation measures” are defined in the Act as those installed on or after the Act’s effective date.  66 Pa. C.S. § 2806.1(m).  FDSI </w:t>
      </w:r>
      <w:r w:rsidR="002750A7">
        <w:rPr>
          <w:sz w:val="26"/>
          <w:szCs w:val="26"/>
        </w:rPr>
        <w:t xml:space="preserve">further </w:t>
      </w:r>
      <w:r w:rsidRPr="00C648E8">
        <w:rPr>
          <w:sz w:val="26"/>
          <w:szCs w:val="26"/>
        </w:rPr>
        <w:t xml:space="preserve">asserts that the inclusion of such projects would improve FirstEnergy’s ability to meet its energy efficiency and consumption targets.  </w:t>
      </w:r>
      <w:r w:rsidR="002750A7">
        <w:rPr>
          <w:sz w:val="26"/>
          <w:szCs w:val="26"/>
        </w:rPr>
        <w:t xml:space="preserve">Moreover, according to </w:t>
      </w:r>
      <w:r w:rsidRPr="00C648E8">
        <w:rPr>
          <w:sz w:val="26"/>
          <w:szCs w:val="26"/>
        </w:rPr>
        <w:t>FDSI</w:t>
      </w:r>
      <w:r w:rsidR="002750A7">
        <w:rPr>
          <w:sz w:val="26"/>
          <w:szCs w:val="26"/>
        </w:rPr>
        <w:t>,</w:t>
      </w:r>
      <w:r w:rsidRPr="00C648E8">
        <w:rPr>
          <w:sz w:val="26"/>
          <w:szCs w:val="26"/>
        </w:rPr>
        <w:t xml:space="preserve"> grandfathering such projects would allow customers to take advantage of programs and incentives, such as the ARRA, that may be available between the </w:t>
      </w:r>
      <w:r w:rsidR="00D3381C">
        <w:rPr>
          <w:sz w:val="26"/>
          <w:szCs w:val="26"/>
        </w:rPr>
        <w:t>date</w:t>
      </w:r>
      <w:r w:rsidRPr="00C648E8">
        <w:rPr>
          <w:sz w:val="26"/>
          <w:szCs w:val="26"/>
        </w:rPr>
        <w:t xml:space="preserve"> the </w:t>
      </w:r>
      <w:r w:rsidR="00D3381C">
        <w:rPr>
          <w:sz w:val="26"/>
          <w:szCs w:val="26"/>
        </w:rPr>
        <w:t xml:space="preserve">Plans were </w:t>
      </w:r>
      <w:r w:rsidRPr="00C648E8">
        <w:rPr>
          <w:sz w:val="26"/>
          <w:szCs w:val="26"/>
        </w:rPr>
        <w:t>fil</w:t>
      </w:r>
      <w:r w:rsidR="00D3381C">
        <w:rPr>
          <w:sz w:val="26"/>
          <w:szCs w:val="26"/>
        </w:rPr>
        <w:t>ed</w:t>
      </w:r>
      <w:r w:rsidRPr="00C648E8">
        <w:rPr>
          <w:sz w:val="26"/>
          <w:szCs w:val="26"/>
        </w:rPr>
        <w:t xml:space="preserve"> and the date of the Commission’s approval.  FDSI MB at 17.  </w:t>
      </w:r>
    </w:p>
    <w:p w:rsidR="00C648E8" w:rsidRPr="00C648E8" w:rsidRDefault="00C648E8" w:rsidP="00A01A36">
      <w:pPr>
        <w:spacing w:line="360" w:lineRule="auto"/>
        <w:rPr>
          <w:sz w:val="26"/>
          <w:szCs w:val="26"/>
        </w:rPr>
      </w:pPr>
    </w:p>
    <w:p w:rsidR="00C648E8" w:rsidRPr="00C648E8" w:rsidRDefault="00C648E8" w:rsidP="00A01A36">
      <w:pPr>
        <w:spacing w:line="360" w:lineRule="auto"/>
        <w:rPr>
          <w:sz w:val="26"/>
          <w:szCs w:val="26"/>
        </w:rPr>
      </w:pPr>
      <w:r w:rsidRPr="00C648E8">
        <w:rPr>
          <w:sz w:val="26"/>
          <w:szCs w:val="26"/>
        </w:rPr>
        <w:tab/>
      </w:r>
      <w:r w:rsidRPr="00C648E8">
        <w:rPr>
          <w:sz w:val="26"/>
          <w:szCs w:val="26"/>
        </w:rPr>
        <w:tab/>
        <w:t xml:space="preserve">FirstEnergy did not address FDSI’s grandfathering proposal in its Main or Reply Briefs.  </w:t>
      </w:r>
    </w:p>
    <w:p w:rsidR="00C648E8" w:rsidRPr="00C648E8" w:rsidRDefault="00C648E8" w:rsidP="00A01A36">
      <w:pPr>
        <w:spacing w:line="360" w:lineRule="auto"/>
        <w:rPr>
          <w:sz w:val="26"/>
          <w:szCs w:val="26"/>
        </w:rPr>
      </w:pPr>
    </w:p>
    <w:p w:rsidR="004177CF" w:rsidRPr="008E7C8E" w:rsidRDefault="00A01A36" w:rsidP="00A01A36">
      <w:pPr>
        <w:pStyle w:val="Heading4"/>
      </w:pPr>
      <w:bookmarkStart w:id="326" w:name="_Toc242516350"/>
      <w:bookmarkStart w:id="327" w:name="_Toc244499427"/>
      <w:r>
        <w:t>b</w:t>
      </w:r>
      <w:r w:rsidR="004177CF">
        <w:t>.</w:t>
      </w:r>
      <w:r w:rsidR="00B6382E">
        <w:t xml:space="preserve">  </w:t>
      </w:r>
      <w:r w:rsidR="006F4B78">
        <w:tab/>
      </w:r>
      <w:r w:rsidR="004177CF" w:rsidRPr="008E7C8E">
        <w:t>Disposition</w:t>
      </w:r>
      <w:bookmarkEnd w:id="326"/>
      <w:bookmarkEnd w:id="327"/>
    </w:p>
    <w:p w:rsidR="002D4ECD" w:rsidRDefault="002D4ECD" w:rsidP="009E26A1">
      <w:pPr>
        <w:spacing w:line="360" w:lineRule="auto"/>
        <w:ind w:firstLine="720"/>
        <w:rPr>
          <w:sz w:val="26"/>
          <w:szCs w:val="26"/>
        </w:rPr>
      </w:pPr>
    </w:p>
    <w:p w:rsidR="002750A7" w:rsidRPr="00C648E8" w:rsidRDefault="005A2DB4" w:rsidP="002750A7">
      <w:pPr>
        <w:spacing w:line="360" w:lineRule="auto"/>
        <w:rPr>
          <w:sz w:val="26"/>
          <w:szCs w:val="26"/>
        </w:rPr>
      </w:pPr>
      <w:r>
        <w:rPr>
          <w:sz w:val="26"/>
          <w:szCs w:val="26"/>
        </w:rPr>
        <w:tab/>
      </w:r>
      <w:r>
        <w:rPr>
          <w:sz w:val="26"/>
          <w:szCs w:val="26"/>
        </w:rPr>
        <w:tab/>
        <w:t>We see no need to grant FDSI’s recommendation.  FirstEnergy has not requested credit for projects that customers installed, or com</w:t>
      </w:r>
      <w:r w:rsidR="00F31FEC">
        <w:rPr>
          <w:sz w:val="26"/>
          <w:szCs w:val="26"/>
        </w:rPr>
        <w:t>mitted to install, between July </w:t>
      </w:r>
      <w:r>
        <w:rPr>
          <w:sz w:val="26"/>
          <w:szCs w:val="26"/>
        </w:rPr>
        <w:t>1, 2009</w:t>
      </w:r>
      <w:r w:rsidR="0052113D">
        <w:rPr>
          <w:sz w:val="26"/>
          <w:szCs w:val="26"/>
        </w:rPr>
        <w:t>,</w:t>
      </w:r>
      <w:r w:rsidR="003B481E">
        <w:rPr>
          <w:sz w:val="26"/>
          <w:szCs w:val="26"/>
        </w:rPr>
        <w:t xml:space="preserve"> and the date that the Commission approves the Plans</w:t>
      </w:r>
      <w:r>
        <w:rPr>
          <w:sz w:val="26"/>
          <w:szCs w:val="26"/>
        </w:rPr>
        <w:t xml:space="preserve">.  Even without such credit, FirstEnergy projects that it will meet the required </w:t>
      </w:r>
      <w:r w:rsidR="003B481E">
        <w:rPr>
          <w:sz w:val="26"/>
          <w:szCs w:val="26"/>
        </w:rPr>
        <w:t xml:space="preserve">conservation and demand </w:t>
      </w:r>
      <w:r w:rsidR="003B481E">
        <w:rPr>
          <w:sz w:val="26"/>
          <w:szCs w:val="26"/>
        </w:rPr>
        <w:lastRenderedPageBreak/>
        <w:t>reduction requirements.  Consequently, we will not require the Companies to modify their Plans in accordance with FDSI’s recommendation.</w:t>
      </w:r>
      <w:r>
        <w:rPr>
          <w:sz w:val="26"/>
          <w:szCs w:val="26"/>
        </w:rPr>
        <w:t xml:space="preserve"> </w:t>
      </w:r>
      <w:r w:rsidR="002750A7" w:rsidRPr="00C648E8">
        <w:rPr>
          <w:sz w:val="26"/>
          <w:szCs w:val="26"/>
        </w:rPr>
        <w:t xml:space="preserve">  </w:t>
      </w:r>
    </w:p>
    <w:p w:rsidR="002750A7" w:rsidRDefault="002750A7" w:rsidP="009E26A1">
      <w:pPr>
        <w:spacing w:line="360" w:lineRule="auto"/>
        <w:ind w:firstLine="720"/>
        <w:rPr>
          <w:sz w:val="26"/>
          <w:szCs w:val="26"/>
        </w:rPr>
      </w:pPr>
    </w:p>
    <w:p w:rsidR="004933B3" w:rsidRDefault="004933B3">
      <w:pPr>
        <w:spacing w:after="200" w:line="276" w:lineRule="auto"/>
        <w:rPr>
          <w:rFonts w:eastAsiaTheme="majorEastAsia" w:cstheme="majorBidi"/>
          <w:b/>
          <w:bCs/>
          <w:sz w:val="26"/>
          <w:szCs w:val="28"/>
        </w:rPr>
      </w:pPr>
      <w:bookmarkStart w:id="328" w:name="_Toc242516351"/>
      <w:r>
        <w:br w:type="page"/>
      </w:r>
    </w:p>
    <w:p w:rsidR="009A077C" w:rsidRPr="00352094" w:rsidRDefault="006F4B78" w:rsidP="00940B59">
      <w:pPr>
        <w:pStyle w:val="Heading1"/>
      </w:pPr>
      <w:bookmarkStart w:id="329" w:name="_Toc244499428"/>
      <w:r>
        <w:lastRenderedPageBreak/>
        <w:t>V</w:t>
      </w:r>
      <w:r w:rsidR="00154497">
        <w:t>I</w:t>
      </w:r>
      <w:r w:rsidR="00B6382E">
        <w:t xml:space="preserve">.  </w:t>
      </w:r>
      <w:r>
        <w:tab/>
      </w:r>
      <w:r w:rsidR="009A077C" w:rsidRPr="00352094">
        <w:t>Conclusion</w:t>
      </w:r>
      <w:bookmarkEnd w:id="328"/>
      <w:bookmarkEnd w:id="329"/>
    </w:p>
    <w:p w:rsidR="009A077C" w:rsidRDefault="009A077C" w:rsidP="009A077C">
      <w:pPr>
        <w:spacing w:line="360" w:lineRule="auto"/>
        <w:rPr>
          <w:sz w:val="26"/>
          <w:szCs w:val="26"/>
        </w:rPr>
      </w:pPr>
    </w:p>
    <w:p w:rsidR="00D47468" w:rsidRDefault="00D47468" w:rsidP="007A47D5">
      <w:pPr>
        <w:spacing w:line="360" w:lineRule="auto"/>
        <w:ind w:firstLine="1440"/>
        <w:rPr>
          <w:b/>
          <w:sz w:val="26"/>
        </w:rPr>
      </w:pPr>
      <w:r>
        <w:rPr>
          <w:sz w:val="26"/>
          <w:szCs w:val="26"/>
        </w:rPr>
        <w:t xml:space="preserve">For the reasons set forth above, we will </w:t>
      </w:r>
      <w:r w:rsidR="00920080">
        <w:rPr>
          <w:sz w:val="26"/>
          <w:szCs w:val="26"/>
        </w:rPr>
        <w:t xml:space="preserve">grant </w:t>
      </w:r>
      <w:r w:rsidR="00691BDA">
        <w:rPr>
          <w:sz w:val="26"/>
          <w:szCs w:val="26"/>
        </w:rPr>
        <w:t xml:space="preserve">in part and deny in part </w:t>
      </w:r>
      <w:r w:rsidR="00920080">
        <w:rPr>
          <w:sz w:val="26"/>
          <w:szCs w:val="26"/>
        </w:rPr>
        <w:t xml:space="preserve">the Joint Petition </w:t>
      </w:r>
      <w:r w:rsidR="006B48A4">
        <w:rPr>
          <w:sz w:val="26"/>
          <w:szCs w:val="26"/>
        </w:rPr>
        <w:t xml:space="preserve">of Metropolitan Edison Company, Pennsylvania Electric Company and Pennsylvania Power Company </w:t>
      </w:r>
      <w:r w:rsidR="00920080">
        <w:rPr>
          <w:sz w:val="26"/>
          <w:szCs w:val="26"/>
        </w:rPr>
        <w:t>for Consolidation of Proceedings and Approval of Energy Efficiency and Conservation Plans</w:t>
      </w:r>
      <w:r w:rsidR="006B48A4">
        <w:rPr>
          <w:sz w:val="26"/>
          <w:szCs w:val="26"/>
        </w:rPr>
        <w:t xml:space="preserve">, consistent with this Opinion and Order.  Pursuant to Section 2806.1(e)(2)(ii) of the Act, </w:t>
      </w:r>
      <w:r w:rsidR="00D4008B">
        <w:rPr>
          <w:sz w:val="26"/>
          <w:szCs w:val="26"/>
        </w:rPr>
        <w:t xml:space="preserve">the Companies shall file with this Commission and serve on all </w:t>
      </w:r>
      <w:r w:rsidR="005843D4">
        <w:rPr>
          <w:sz w:val="26"/>
          <w:szCs w:val="26"/>
        </w:rPr>
        <w:t>P</w:t>
      </w:r>
      <w:r w:rsidR="00D4008B">
        <w:rPr>
          <w:sz w:val="26"/>
          <w:szCs w:val="26"/>
        </w:rPr>
        <w:t>arties of record in this proceeding a revised Energy Efficiency and Conservation Plan consistent with the modifications directed in this Opinion and Order, within sixty days of the entry of this Opinion and Order.  66 Pa. C.S. § 2806.1(e)(2)(ii).  Interested parties will have ten days to file comments on the revised portions of the Plans, with reply comments due ten days thereafter.  The Commission will approve or reject the revised Plans at a public meeting wit</w:t>
      </w:r>
      <w:r w:rsidR="008B3228">
        <w:rPr>
          <w:sz w:val="26"/>
          <w:szCs w:val="26"/>
        </w:rPr>
        <w:t xml:space="preserve">hin sixty days of the </w:t>
      </w:r>
      <w:r w:rsidR="0052113D">
        <w:rPr>
          <w:sz w:val="26"/>
          <w:szCs w:val="26"/>
        </w:rPr>
        <w:t xml:space="preserve">date of filing of the </w:t>
      </w:r>
      <w:r w:rsidR="00D4008B">
        <w:rPr>
          <w:sz w:val="26"/>
          <w:szCs w:val="26"/>
        </w:rPr>
        <w:t xml:space="preserve">revised Plans.  See </w:t>
      </w:r>
      <w:r w:rsidR="00D4008B" w:rsidRPr="00D4008B">
        <w:rPr>
          <w:i/>
          <w:sz w:val="26"/>
          <w:szCs w:val="26"/>
        </w:rPr>
        <w:t>Implementation Order</w:t>
      </w:r>
      <w:r w:rsidR="00D4008B">
        <w:rPr>
          <w:sz w:val="26"/>
          <w:szCs w:val="26"/>
        </w:rPr>
        <w:t xml:space="preserve"> at 12-13.  </w:t>
      </w:r>
      <w:r w:rsidR="001306AD">
        <w:rPr>
          <w:sz w:val="26"/>
          <w:szCs w:val="26"/>
        </w:rPr>
        <w:t>The Companies are permitted to implement any portion of their Plans that was approved without modification by this Opinion and Order</w:t>
      </w:r>
      <w:r w:rsidR="007A47D5">
        <w:rPr>
          <w:sz w:val="26"/>
          <w:szCs w:val="26"/>
        </w:rPr>
        <w:t xml:space="preserve">; </w:t>
      </w:r>
      <w:r w:rsidR="00920080">
        <w:rPr>
          <w:b/>
          <w:sz w:val="26"/>
        </w:rPr>
        <w:t>TH</w:t>
      </w:r>
      <w:r w:rsidR="009F398E" w:rsidRPr="003C63B1">
        <w:rPr>
          <w:b/>
          <w:sz w:val="26"/>
        </w:rPr>
        <w:t xml:space="preserve">EREFORE; </w:t>
      </w:r>
    </w:p>
    <w:p w:rsidR="00D47468" w:rsidRDefault="00D47468" w:rsidP="009F398E">
      <w:pPr>
        <w:spacing w:line="360" w:lineRule="auto"/>
        <w:rPr>
          <w:b/>
          <w:sz w:val="26"/>
        </w:rPr>
      </w:pPr>
    </w:p>
    <w:p w:rsidR="009F398E" w:rsidRDefault="009F398E" w:rsidP="009F398E">
      <w:pPr>
        <w:spacing w:line="360" w:lineRule="auto"/>
        <w:rPr>
          <w:b/>
          <w:sz w:val="26"/>
        </w:rPr>
      </w:pPr>
      <w:r w:rsidRPr="003C63B1">
        <w:rPr>
          <w:b/>
          <w:sz w:val="26"/>
        </w:rPr>
        <w:t>IT IS ORDERED:</w:t>
      </w:r>
    </w:p>
    <w:p w:rsidR="003A1D4E" w:rsidRPr="003C63B1" w:rsidRDefault="003A1D4E" w:rsidP="009F398E">
      <w:pPr>
        <w:spacing w:line="360" w:lineRule="auto"/>
        <w:rPr>
          <w:sz w:val="26"/>
        </w:rPr>
      </w:pPr>
    </w:p>
    <w:p w:rsidR="00920080" w:rsidRDefault="00D47468" w:rsidP="009D3687">
      <w:pPr>
        <w:spacing w:line="360" w:lineRule="auto"/>
        <w:ind w:firstLine="1440"/>
        <w:rPr>
          <w:sz w:val="26"/>
          <w:szCs w:val="26"/>
        </w:rPr>
      </w:pPr>
      <w:r>
        <w:rPr>
          <w:sz w:val="26"/>
          <w:szCs w:val="26"/>
        </w:rPr>
        <w:t>1.</w:t>
      </w:r>
      <w:r>
        <w:rPr>
          <w:sz w:val="26"/>
          <w:szCs w:val="26"/>
        </w:rPr>
        <w:tab/>
      </w:r>
      <w:r w:rsidR="00920080">
        <w:rPr>
          <w:sz w:val="26"/>
          <w:szCs w:val="26"/>
        </w:rPr>
        <w:t>That the Joint Petition of Metropolitan Edison Company, Pennsylvania Electric Company and Pennsylvania Power Company for Consolidation of Proceedings and Approval of Energy Efficiency and Conservation Plans is granted</w:t>
      </w:r>
      <w:r w:rsidR="00691BDA">
        <w:rPr>
          <w:sz w:val="26"/>
          <w:szCs w:val="26"/>
        </w:rPr>
        <w:t xml:space="preserve"> in part and denied in part</w:t>
      </w:r>
      <w:r w:rsidR="00920080">
        <w:rPr>
          <w:sz w:val="26"/>
          <w:szCs w:val="26"/>
        </w:rPr>
        <w:t xml:space="preserve">, </w:t>
      </w:r>
      <w:r w:rsidR="005F289F">
        <w:rPr>
          <w:sz w:val="26"/>
          <w:szCs w:val="26"/>
        </w:rPr>
        <w:t xml:space="preserve">consistent with this </w:t>
      </w:r>
      <w:r w:rsidR="003A5D24">
        <w:rPr>
          <w:sz w:val="26"/>
          <w:szCs w:val="26"/>
        </w:rPr>
        <w:t>Opinion and Order</w:t>
      </w:r>
      <w:r w:rsidR="005F289F">
        <w:rPr>
          <w:sz w:val="26"/>
          <w:szCs w:val="26"/>
        </w:rPr>
        <w:t>.</w:t>
      </w:r>
    </w:p>
    <w:p w:rsidR="00920080" w:rsidRDefault="00920080" w:rsidP="009D3687">
      <w:pPr>
        <w:spacing w:line="360" w:lineRule="auto"/>
        <w:ind w:firstLine="1440"/>
        <w:rPr>
          <w:sz w:val="26"/>
          <w:szCs w:val="26"/>
        </w:rPr>
      </w:pPr>
    </w:p>
    <w:p w:rsidR="00A606B7" w:rsidRDefault="005F289F" w:rsidP="009D3687">
      <w:pPr>
        <w:spacing w:line="360" w:lineRule="auto"/>
        <w:ind w:firstLine="1440"/>
        <w:rPr>
          <w:sz w:val="26"/>
          <w:szCs w:val="26"/>
        </w:rPr>
      </w:pPr>
      <w:r>
        <w:rPr>
          <w:sz w:val="26"/>
          <w:szCs w:val="26"/>
        </w:rPr>
        <w:t>2.</w:t>
      </w:r>
      <w:r>
        <w:rPr>
          <w:sz w:val="26"/>
          <w:szCs w:val="26"/>
        </w:rPr>
        <w:tab/>
      </w:r>
      <w:r w:rsidR="005D1DB1">
        <w:rPr>
          <w:sz w:val="26"/>
          <w:szCs w:val="26"/>
        </w:rPr>
        <w:t xml:space="preserve">That Metropolitan </w:t>
      </w:r>
      <w:r w:rsidR="00F04BA9">
        <w:rPr>
          <w:sz w:val="26"/>
          <w:szCs w:val="26"/>
        </w:rPr>
        <w:t>Edison Company’s Energy Efficiency and Conservation Plan</w:t>
      </w:r>
      <w:r w:rsidR="00DF5DC2">
        <w:rPr>
          <w:sz w:val="26"/>
          <w:szCs w:val="26"/>
        </w:rPr>
        <w:t xml:space="preserve">, as filed on September 21, 2009, </w:t>
      </w:r>
      <w:r w:rsidR="00F04BA9">
        <w:rPr>
          <w:sz w:val="26"/>
          <w:szCs w:val="26"/>
        </w:rPr>
        <w:t xml:space="preserve">is </w:t>
      </w:r>
      <w:r w:rsidR="00A03DF8">
        <w:rPr>
          <w:sz w:val="26"/>
          <w:szCs w:val="26"/>
        </w:rPr>
        <w:t>approved</w:t>
      </w:r>
      <w:r w:rsidR="00691BDA">
        <w:rPr>
          <w:sz w:val="26"/>
          <w:szCs w:val="26"/>
        </w:rPr>
        <w:t xml:space="preserve"> in part and rejected in part</w:t>
      </w:r>
      <w:r w:rsidR="00620B93">
        <w:rPr>
          <w:sz w:val="26"/>
          <w:szCs w:val="26"/>
        </w:rPr>
        <w:t xml:space="preserve">, consistent with this </w:t>
      </w:r>
      <w:r w:rsidR="003A5D24">
        <w:rPr>
          <w:sz w:val="26"/>
          <w:szCs w:val="26"/>
        </w:rPr>
        <w:t>Opinion and Order</w:t>
      </w:r>
      <w:r w:rsidR="00F04BA9">
        <w:rPr>
          <w:sz w:val="26"/>
          <w:szCs w:val="26"/>
        </w:rPr>
        <w:t>.</w:t>
      </w:r>
      <w:r w:rsidR="006200D8">
        <w:rPr>
          <w:sz w:val="26"/>
          <w:szCs w:val="26"/>
        </w:rPr>
        <w:t xml:space="preserve">  </w:t>
      </w:r>
    </w:p>
    <w:p w:rsidR="00A606B7" w:rsidRDefault="00A606B7" w:rsidP="009D3687">
      <w:pPr>
        <w:spacing w:line="360" w:lineRule="auto"/>
        <w:ind w:firstLine="1440"/>
        <w:rPr>
          <w:sz w:val="26"/>
          <w:szCs w:val="26"/>
        </w:rPr>
      </w:pPr>
    </w:p>
    <w:p w:rsidR="00E143EC" w:rsidRDefault="00A606B7" w:rsidP="00C2330E">
      <w:pPr>
        <w:spacing w:line="360" w:lineRule="auto"/>
        <w:ind w:firstLine="1440"/>
        <w:rPr>
          <w:sz w:val="26"/>
          <w:szCs w:val="26"/>
        </w:rPr>
      </w:pPr>
      <w:r>
        <w:rPr>
          <w:sz w:val="26"/>
          <w:szCs w:val="26"/>
        </w:rPr>
        <w:lastRenderedPageBreak/>
        <w:t>3.</w:t>
      </w:r>
      <w:r>
        <w:rPr>
          <w:sz w:val="26"/>
          <w:szCs w:val="26"/>
        </w:rPr>
        <w:tab/>
      </w:r>
      <w:r w:rsidR="00597F3C">
        <w:rPr>
          <w:sz w:val="26"/>
          <w:szCs w:val="26"/>
        </w:rPr>
        <w:t>That Metropolitan Edison Company shall file with th</w:t>
      </w:r>
      <w:r w:rsidR="005843D4">
        <w:rPr>
          <w:sz w:val="26"/>
          <w:szCs w:val="26"/>
        </w:rPr>
        <w:t>is Commission and serve on all P</w:t>
      </w:r>
      <w:r w:rsidR="00597F3C">
        <w:rPr>
          <w:sz w:val="26"/>
          <w:szCs w:val="26"/>
        </w:rPr>
        <w:t xml:space="preserve">arties of record in this proceeding a revised Energy Efficiency and Conservation Plan consistent with the modifications directed in this Opinion and Order, within sixty days of the entry of this Opinion and Order.  Interested parties will have ten days to file comments on the revised portions of the Energy Efficiency and Conservation Plan, with reply comments due ten days thereafter.  The Commission will approve or reject the revised portions of the Energy Efficiency and </w:t>
      </w:r>
      <w:r w:rsidR="00B07BA6">
        <w:rPr>
          <w:sz w:val="26"/>
          <w:szCs w:val="26"/>
        </w:rPr>
        <w:t xml:space="preserve">Conservation Plan at a public meeting within sixty days of the </w:t>
      </w:r>
      <w:r w:rsidR="0052113D">
        <w:rPr>
          <w:sz w:val="26"/>
          <w:szCs w:val="26"/>
        </w:rPr>
        <w:t xml:space="preserve">date of </w:t>
      </w:r>
      <w:r w:rsidR="00B07BA6">
        <w:rPr>
          <w:sz w:val="26"/>
          <w:szCs w:val="26"/>
        </w:rPr>
        <w:t xml:space="preserve">filing </w:t>
      </w:r>
      <w:r w:rsidR="0052113D">
        <w:rPr>
          <w:sz w:val="26"/>
          <w:szCs w:val="26"/>
        </w:rPr>
        <w:t>the revised P</w:t>
      </w:r>
      <w:r w:rsidR="00B07BA6">
        <w:rPr>
          <w:sz w:val="26"/>
          <w:szCs w:val="26"/>
        </w:rPr>
        <w:t>lan.</w:t>
      </w:r>
    </w:p>
    <w:p w:rsidR="00E143EC" w:rsidRDefault="00E143EC" w:rsidP="00C2330E">
      <w:pPr>
        <w:spacing w:line="360" w:lineRule="auto"/>
        <w:ind w:firstLine="1440"/>
        <w:rPr>
          <w:sz w:val="26"/>
          <w:szCs w:val="26"/>
        </w:rPr>
      </w:pPr>
    </w:p>
    <w:p w:rsidR="00C2330E" w:rsidRDefault="00BD1192" w:rsidP="00C2330E">
      <w:pPr>
        <w:spacing w:line="360" w:lineRule="auto"/>
        <w:ind w:firstLine="1440"/>
        <w:rPr>
          <w:sz w:val="26"/>
          <w:szCs w:val="26"/>
        </w:rPr>
      </w:pPr>
      <w:r>
        <w:rPr>
          <w:sz w:val="26"/>
          <w:szCs w:val="26"/>
        </w:rPr>
        <w:t>4.</w:t>
      </w:r>
      <w:r>
        <w:rPr>
          <w:sz w:val="26"/>
          <w:szCs w:val="26"/>
        </w:rPr>
        <w:tab/>
      </w:r>
      <w:r w:rsidR="00A03DFA">
        <w:rPr>
          <w:sz w:val="26"/>
          <w:szCs w:val="26"/>
        </w:rPr>
        <w:t xml:space="preserve">That Metropolitan Edison Company shall submit </w:t>
      </w:r>
      <w:r w:rsidR="00AA792C">
        <w:rPr>
          <w:sz w:val="26"/>
          <w:szCs w:val="26"/>
        </w:rPr>
        <w:t xml:space="preserve">with its revised Energy Efficiency and Conservation Plan </w:t>
      </w:r>
      <w:r w:rsidR="00A03DFA">
        <w:rPr>
          <w:sz w:val="26"/>
          <w:szCs w:val="26"/>
        </w:rPr>
        <w:t>a revised cost recovery mechanism</w:t>
      </w:r>
      <w:r w:rsidR="00AA792C">
        <w:rPr>
          <w:sz w:val="26"/>
          <w:szCs w:val="26"/>
        </w:rPr>
        <w:t xml:space="preserve"> and appropriate tariffs</w:t>
      </w:r>
      <w:r w:rsidR="00A03DFA">
        <w:rPr>
          <w:sz w:val="26"/>
          <w:szCs w:val="26"/>
        </w:rPr>
        <w:t xml:space="preserve">, consistent with </w:t>
      </w:r>
      <w:r w:rsidR="00F8667F">
        <w:rPr>
          <w:sz w:val="26"/>
          <w:szCs w:val="26"/>
        </w:rPr>
        <w:t xml:space="preserve">the modifications directed in </w:t>
      </w:r>
      <w:r w:rsidR="00A03DFA">
        <w:rPr>
          <w:sz w:val="26"/>
          <w:szCs w:val="26"/>
        </w:rPr>
        <w:t xml:space="preserve">this </w:t>
      </w:r>
      <w:r w:rsidR="003A5D24">
        <w:rPr>
          <w:sz w:val="26"/>
          <w:szCs w:val="26"/>
        </w:rPr>
        <w:t>Opinion and Order</w:t>
      </w:r>
      <w:r w:rsidR="00A03DFA">
        <w:rPr>
          <w:sz w:val="26"/>
          <w:szCs w:val="26"/>
        </w:rPr>
        <w:t xml:space="preserve">.  </w:t>
      </w:r>
    </w:p>
    <w:p w:rsidR="00A606B7" w:rsidRDefault="00A606B7" w:rsidP="00A606B7">
      <w:pPr>
        <w:widowControl w:val="0"/>
        <w:spacing w:line="360" w:lineRule="auto"/>
        <w:ind w:firstLine="1440"/>
        <w:rPr>
          <w:sz w:val="26"/>
          <w:szCs w:val="26"/>
        </w:rPr>
      </w:pPr>
    </w:p>
    <w:p w:rsidR="00BD1192" w:rsidRDefault="00BD1192" w:rsidP="00A606B7">
      <w:pPr>
        <w:widowControl w:val="0"/>
        <w:spacing w:line="360" w:lineRule="auto"/>
        <w:ind w:firstLine="1440"/>
        <w:rPr>
          <w:sz w:val="26"/>
          <w:szCs w:val="26"/>
        </w:rPr>
      </w:pPr>
      <w:r>
        <w:rPr>
          <w:sz w:val="26"/>
          <w:szCs w:val="26"/>
        </w:rPr>
        <w:t>5</w:t>
      </w:r>
      <w:r w:rsidR="00A606B7">
        <w:rPr>
          <w:sz w:val="26"/>
          <w:szCs w:val="26"/>
        </w:rPr>
        <w:t>.</w:t>
      </w:r>
      <w:r w:rsidR="00A606B7">
        <w:rPr>
          <w:sz w:val="26"/>
          <w:szCs w:val="26"/>
        </w:rPr>
        <w:tab/>
      </w:r>
      <w:r>
        <w:rPr>
          <w:sz w:val="26"/>
          <w:szCs w:val="26"/>
        </w:rPr>
        <w:t>That Metropolitan Edison Company is permitted to implement any portion of its Energy Efficiency and Conservation Plan that was approved without modification by this Opinion and Order.</w:t>
      </w:r>
    </w:p>
    <w:p w:rsidR="00BD1192" w:rsidRDefault="00BD1192" w:rsidP="00A606B7">
      <w:pPr>
        <w:widowControl w:val="0"/>
        <w:spacing w:line="360" w:lineRule="auto"/>
        <w:ind w:firstLine="1440"/>
        <w:rPr>
          <w:sz w:val="26"/>
          <w:szCs w:val="26"/>
        </w:rPr>
      </w:pPr>
    </w:p>
    <w:p w:rsidR="00A606B7" w:rsidRDefault="00BD1192" w:rsidP="00A606B7">
      <w:pPr>
        <w:widowControl w:val="0"/>
        <w:spacing w:line="360" w:lineRule="auto"/>
        <w:ind w:firstLine="1440"/>
        <w:rPr>
          <w:sz w:val="26"/>
          <w:szCs w:val="26"/>
        </w:rPr>
      </w:pPr>
      <w:r>
        <w:rPr>
          <w:sz w:val="26"/>
          <w:szCs w:val="26"/>
        </w:rPr>
        <w:t>6.</w:t>
      </w:r>
      <w:r>
        <w:rPr>
          <w:sz w:val="26"/>
          <w:szCs w:val="26"/>
        </w:rPr>
        <w:tab/>
      </w:r>
      <w:r w:rsidR="00A606B7">
        <w:rPr>
          <w:sz w:val="26"/>
          <w:szCs w:val="26"/>
        </w:rPr>
        <w:t xml:space="preserve">That Metropolitan Edison Company shall </w:t>
      </w:r>
      <w:r w:rsidR="00A606B7" w:rsidRPr="009C1190">
        <w:rPr>
          <w:sz w:val="26"/>
          <w:szCs w:val="26"/>
        </w:rPr>
        <w:t xml:space="preserve">meet with stakeholders as needed, but no less than </w:t>
      </w:r>
      <w:r w:rsidR="00BB67A3">
        <w:rPr>
          <w:sz w:val="26"/>
          <w:szCs w:val="26"/>
        </w:rPr>
        <w:t>twice annually</w:t>
      </w:r>
      <w:r w:rsidR="00A606B7" w:rsidRPr="009C1190">
        <w:rPr>
          <w:sz w:val="26"/>
          <w:szCs w:val="26"/>
        </w:rPr>
        <w:t>, until May 31, 2013, unless otherwise ordered by the Commission</w:t>
      </w:r>
      <w:r w:rsidR="00AF164F">
        <w:rPr>
          <w:sz w:val="26"/>
          <w:szCs w:val="26"/>
        </w:rPr>
        <w:t>, for a collaborative exchange concerning the implementation of its Energy Efficiency and Conservation Plan</w:t>
      </w:r>
      <w:r w:rsidR="00A606B7">
        <w:rPr>
          <w:sz w:val="26"/>
          <w:szCs w:val="26"/>
        </w:rPr>
        <w:t>.</w:t>
      </w:r>
    </w:p>
    <w:p w:rsidR="00A606B7" w:rsidRDefault="00A606B7" w:rsidP="00A606B7">
      <w:pPr>
        <w:widowControl w:val="0"/>
        <w:spacing w:line="360" w:lineRule="auto"/>
        <w:ind w:firstLine="1440"/>
        <w:rPr>
          <w:sz w:val="26"/>
          <w:szCs w:val="26"/>
        </w:rPr>
      </w:pPr>
    </w:p>
    <w:p w:rsidR="00E26D46" w:rsidRDefault="00306798" w:rsidP="00E26D46">
      <w:pPr>
        <w:spacing w:line="360" w:lineRule="auto"/>
        <w:ind w:firstLine="1440"/>
        <w:rPr>
          <w:sz w:val="26"/>
          <w:szCs w:val="26"/>
        </w:rPr>
      </w:pPr>
      <w:r>
        <w:rPr>
          <w:sz w:val="26"/>
          <w:szCs w:val="26"/>
        </w:rPr>
        <w:t>7</w:t>
      </w:r>
      <w:r w:rsidR="00E26D46">
        <w:rPr>
          <w:sz w:val="26"/>
          <w:szCs w:val="26"/>
        </w:rPr>
        <w:t>.</w:t>
      </w:r>
      <w:r w:rsidR="00E26D46">
        <w:rPr>
          <w:sz w:val="26"/>
          <w:szCs w:val="26"/>
        </w:rPr>
        <w:tab/>
        <w:t>That Metropolitan Edison Company will not include capital costs recovered through the EEC-C rider in future rate case proceedings.</w:t>
      </w:r>
    </w:p>
    <w:p w:rsidR="00E26D46" w:rsidRDefault="00E26D46" w:rsidP="00A606B7">
      <w:pPr>
        <w:widowControl w:val="0"/>
        <w:spacing w:line="360" w:lineRule="auto"/>
        <w:ind w:firstLine="1440"/>
        <w:rPr>
          <w:sz w:val="26"/>
          <w:szCs w:val="26"/>
        </w:rPr>
      </w:pPr>
    </w:p>
    <w:p w:rsidR="002B40C2" w:rsidRDefault="00306798" w:rsidP="00E26D46">
      <w:pPr>
        <w:spacing w:line="360" w:lineRule="auto"/>
        <w:ind w:firstLine="1440"/>
        <w:rPr>
          <w:sz w:val="26"/>
          <w:szCs w:val="26"/>
        </w:rPr>
      </w:pPr>
      <w:r>
        <w:rPr>
          <w:sz w:val="26"/>
          <w:szCs w:val="26"/>
        </w:rPr>
        <w:t>8</w:t>
      </w:r>
      <w:r w:rsidR="00E26D46">
        <w:rPr>
          <w:sz w:val="26"/>
          <w:szCs w:val="26"/>
        </w:rPr>
        <w:t>.</w:t>
      </w:r>
      <w:r w:rsidR="00E26D46">
        <w:rPr>
          <w:sz w:val="26"/>
          <w:szCs w:val="26"/>
        </w:rPr>
        <w:tab/>
        <w:t xml:space="preserve">That Metropolitan Edison Company </w:t>
      </w:r>
      <w:r w:rsidR="00F643FB">
        <w:rPr>
          <w:sz w:val="26"/>
          <w:szCs w:val="26"/>
        </w:rPr>
        <w:t xml:space="preserve">shall </w:t>
      </w:r>
      <w:r w:rsidR="00E26D46">
        <w:rPr>
          <w:sz w:val="26"/>
          <w:szCs w:val="26"/>
        </w:rPr>
        <w:t>bid qualifying energy efficiency and demand response resources into the PJM RPM Auction and credit customers for the value received in the cost recovery mechanism, less administrative and credit requirement costs.</w:t>
      </w:r>
    </w:p>
    <w:p w:rsidR="002B40C2" w:rsidRDefault="002B40C2" w:rsidP="00E26D46">
      <w:pPr>
        <w:spacing w:line="360" w:lineRule="auto"/>
        <w:ind w:firstLine="1440"/>
        <w:rPr>
          <w:sz w:val="26"/>
          <w:szCs w:val="26"/>
        </w:rPr>
      </w:pPr>
    </w:p>
    <w:p w:rsidR="002B40C2" w:rsidRDefault="00306798" w:rsidP="002B40C2">
      <w:pPr>
        <w:spacing w:line="360" w:lineRule="auto"/>
        <w:ind w:firstLine="1440"/>
        <w:rPr>
          <w:sz w:val="26"/>
          <w:szCs w:val="26"/>
        </w:rPr>
      </w:pPr>
      <w:r>
        <w:rPr>
          <w:sz w:val="26"/>
          <w:szCs w:val="26"/>
        </w:rPr>
        <w:t>9</w:t>
      </w:r>
      <w:r w:rsidR="002B40C2">
        <w:rPr>
          <w:sz w:val="26"/>
          <w:szCs w:val="26"/>
        </w:rPr>
        <w:t>.</w:t>
      </w:r>
      <w:r w:rsidR="002B40C2">
        <w:rPr>
          <w:sz w:val="26"/>
          <w:szCs w:val="26"/>
        </w:rPr>
        <w:tab/>
        <w:t xml:space="preserve">That Metropolitan Edison Company </w:t>
      </w:r>
      <w:r w:rsidR="00AA792C">
        <w:rPr>
          <w:sz w:val="26"/>
          <w:szCs w:val="26"/>
        </w:rPr>
        <w:t xml:space="preserve">shall </w:t>
      </w:r>
      <w:r w:rsidR="002B40C2">
        <w:rPr>
          <w:sz w:val="26"/>
          <w:szCs w:val="26"/>
        </w:rPr>
        <w:t>provide an updated TRC analysis of its Energy Efficiency and Conservation Plan as part of its annual report to the Commission.</w:t>
      </w:r>
    </w:p>
    <w:p w:rsidR="00F67415" w:rsidRDefault="00F67415" w:rsidP="002B40C2">
      <w:pPr>
        <w:spacing w:line="360" w:lineRule="auto"/>
        <w:ind w:firstLine="1440"/>
        <w:rPr>
          <w:sz w:val="26"/>
          <w:szCs w:val="26"/>
        </w:rPr>
      </w:pPr>
    </w:p>
    <w:p w:rsidR="00F67415" w:rsidRDefault="00306798" w:rsidP="002B40C2">
      <w:pPr>
        <w:spacing w:line="360" w:lineRule="auto"/>
        <w:ind w:firstLine="1440"/>
        <w:rPr>
          <w:sz w:val="26"/>
          <w:szCs w:val="26"/>
        </w:rPr>
      </w:pPr>
      <w:r>
        <w:rPr>
          <w:bCs/>
          <w:sz w:val="26"/>
          <w:szCs w:val="26"/>
        </w:rPr>
        <w:t>10</w:t>
      </w:r>
      <w:r w:rsidR="0015521D">
        <w:rPr>
          <w:bCs/>
          <w:sz w:val="26"/>
          <w:szCs w:val="26"/>
        </w:rPr>
        <w:t>.</w:t>
      </w:r>
      <w:r w:rsidR="0015521D">
        <w:rPr>
          <w:bCs/>
          <w:sz w:val="26"/>
          <w:szCs w:val="26"/>
        </w:rPr>
        <w:tab/>
      </w:r>
      <w:r w:rsidR="00F67415">
        <w:rPr>
          <w:bCs/>
          <w:sz w:val="26"/>
          <w:szCs w:val="26"/>
        </w:rPr>
        <w:t xml:space="preserve">That Metropolitan Edison Company </w:t>
      </w:r>
      <w:r w:rsidR="0033643A">
        <w:rPr>
          <w:bCs/>
          <w:sz w:val="26"/>
          <w:szCs w:val="26"/>
        </w:rPr>
        <w:t xml:space="preserve">shall </w:t>
      </w:r>
      <w:r w:rsidR="00F67415">
        <w:rPr>
          <w:sz w:val="26"/>
          <w:szCs w:val="26"/>
        </w:rPr>
        <w:t xml:space="preserve">track appropriate data regarding fuel switching, in coordination with the Statewide Evaluator, including at least the following: (1) type of appliance </w:t>
      </w:r>
      <w:r w:rsidR="00BB67A3">
        <w:rPr>
          <w:sz w:val="26"/>
          <w:szCs w:val="26"/>
        </w:rPr>
        <w:t xml:space="preserve">or equipment </w:t>
      </w:r>
      <w:r w:rsidR="00F67415">
        <w:rPr>
          <w:sz w:val="26"/>
          <w:szCs w:val="26"/>
        </w:rPr>
        <w:t xml:space="preserve">being replaced; (2) the availability of natural gas at the customer’s location or immediate area; and, (3) whether electric appliances </w:t>
      </w:r>
      <w:r w:rsidR="00BB67A3">
        <w:rPr>
          <w:sz w:val="26"/>
          <w:szCs w:val="26"/>
        </w:rPr>
        <w:t xml:space="preserve">or equipment </w:t>
      </w:r>
      <w:r w:rsidR="00F67415">
        <w:rPr>
          <w:sz w:val="26"/>
          <w:szCs w:val="26"/>
        </w:rPr>
        <w:t xml:space="preserve">were installed in areas where natural gas is available.  </w:t>
      </w:r>
    </w:p>
    <w:p w:rsidR="002B40C2" w:rsidRDefault="002B40C2" w:rsidP="00E26D46">
      <w:pPr>
        <w:spacing w:line="360" w:lineRule="auto"/>
        <w:ind w:firstLine="1440"/>
        <w:rPr>
          <w:sz w:val="26"/>
          <w:szCs w:val="26"/>
        </w:rPr>
      </w:pPr>
    </w:p>
    <w:p w:rsidR="00F04BA9" w:rsidRDefault="00306798" w:rsidP="00D47468">
      <w:pPr>
        <w:spacing w:line="360" w:lineRule="auto"/>
        <w:ind w:firstLine="1440"/>
        <w:rPr>
          <w:sz w:val="26"/>
          <w:szCs w:val="26"/>
        </w:rPr>
      </w:pPr>
      <w:r>
        <w:rPr>
          <w:sz w:val="26"/>
          <w:szCs w:val="26"/>
        </w:rPr>
        <w:t>11</w:t>
      </w:r>
      <w:r w:rsidR="0015521D">
        <w:rPr>
          <w:sz w:val="26"/>
          <w:szCs w:val="26"/>
        </w:rPr>
        <w:t>.</w:t>
      </w:r>
      <w:r w:rsidR="0015521D">
        <w:rPr>
          <w:sz w:val="26"/>
          <w:szCs w:val="26"/>
        </w:rPr>
        <w:tab/>
      </w:r>
      <w:r w:rsidR="00DF5DC2">
        <w:rPr>
          <w:sz w:val="26"/>
          <w:szCs w:val="26"/>
        </w:rPr>
        <w:t>That Pennsylvania Electric Company’s Energy Efficiency and Conservation Plan, as filed on September 21, 2009, is approved</w:t>
      </w:r>
      <w:r w:rsidR="00AA792C">
        <w:rPr>
          <w:sz w:val="26"/>
          <w:szCs w:val="26"/>
        </w:rPr>
        <w:t xml:space="preserve"> in part and rejected in part</w:t>
      </w:r>
      <w:r w:rsidR="00DF5DC2">
        <w:rPr>
          <w:sz w:val="26"/>
          <w:szCs w:val="26"/>
        </w:rPr>
        <w:t xml:space="preserve">, consistent with this </w:t>
      </w:r>
      <w:r w:rsidR="003A5D24">
        <w:rPr>
          <w:sz w:val="26"/>
          <w:szCs w:val="26"/>
        </w:rPr>
        <w:t>Opinion and Order</w:t>
      </w:r>
      <w:r w:rsidR="00DF5DC2">
        <w:rPr>
          <w:sz w:val="26"/>
          <w:szCs w:val="26"/>
        </w:rPr>
        <w:t xml:space="preserve">.  </w:t>
      </w:r>
    </w:p>
    <w:p w:rsidR="00DF5DC2" w:rsidRDefault="00DF5DC2" w:rsidP="00D47468">
      <w:pPr>
        <w:spacing w:line="360" w:lineRule="auto"/>
        <w:ind w:firstLine="1440"/>
        <w:rPr>
          <w:sz w:val="26"/>
          <w:szCs w:val="26"/>
        </w:rPr>
      </w:pPr>
    </w:p>
    <w:p w:rsidR="00306798" w:rsidRDefault="00306798" w:rsidP="00306798">
      <w:pPr>
        <w:spacing w:line="360" w:lineRule="auto"/>
        <w:ind w:firstLine="1440"/>
        <w:rPr>
          <w:sz w:val="26"/>
          <w:szCs w:val="26"/>
        </w:rPr>
      </w:pPr>
      <w:r>
        <w:rPr>
          <w:sz w:val="26"/>
          <w:szCs w:val="26"/>
        </w:rPr>
        <w:t>12</w:t>
      </w:r>
      <w:r w:rsidR="00A606B7">
        <w:rPr>
          <w:sz w:val="26"/>
          <w:szCs w:val="26"/>
        </w:rPr>
        <w:t>.</w:t>
      </w:r>
      <w:r w:rsidR="00A606B7">
        <w:rPr>
          <w:sz w:val="26"/>
          <w:szCs w:val="26"/>
        </w:rPr>
        <w:tab/>
      </w:r>
      <w:r>
        <w:rPr>
          <w:sz w:val="26"/>
          <w:szCs w:val="26"/>
        </w:rPr>
        <w:t xml:space="preserve">That Pennsylvania Electric Company shall file with this Commission and serve on all </w:t>
      </w:r>
      <w:r w:rsidR="005843D4">
        <w:rPr>
          <w:sz w:val="26"/>
          <w:szCs w:val="26"/>
        </w:rPr>
        <w:t>P</w:t>
      </w:r>
      <w:r>
        <w:rPr>
          <w:sz w:val="26"/>
          <w:szCs w:val="26"/>
        </w:rPr>
        <w:t xml:space="preserve">arties of record in this proceeding a revised Energy Efficiency and Conservation Plan consistent with the modifications directed in this Opinion and Order, within sixty days of the entry of this Opinion and Order.  Interested parties will have ten days to file comments on the revised portions of the Energy Efficiency and Conservation Plan, with reply comments due ten days thereafter.  The Commission will approve or reject the revised portions of the Energy Efficiency and Conservation Plan at a public meeting within sixty days of the </w:t>
      </w:r>
      <w:r w:rsidR="0052113D">
        <w:rPr>
          <w:sz w:val="26"/>
          <w:szCs w:val="26"/>
        </w:rPr>
        <w:t xml:space="preserve">date of </w:t>
      </w:r>
      <w:r>
        <w:rPr>
          <w:sz w:val="26"/>
          <w:szCs w:val="26"/>
        </w:rPr>
        <w:t xml:space="preserve">filing </w:t>
      </w:r>
      <w:r w:rsidR="0052113D">
        <w:rPr>
          <w:sz w:val="26"/>
          <w:szCs w:val="26"/>
        </w:rPr>
        <w:t>the revised P</w:t>
      </w:r>
      <w:r>
        <w:rPr>
          <w:sz w:val="26"/>
          <w:szCs w:val="26"/>
        </w:rPr>
        <w:t>lan.</w:t>
      </w:r>
    </w:p>
    <w:p w:rsidR="00306798" w:rsidRDefault="00306798" w:rsidP="000B5724">
      <w:pPr>
        <w:spacing w:line="360" w:lineRule="auto"/>
        <w:ind w:firstLine="1440"/>
        <w:rPr>
          <w:sz w:val="26"/>
          <w:szCs w:val="26"/>
        </w:rPr>
      </w:pPr>
    </w:p>
    <w:p w:rsidR="000B5724" w:rsidRDefault="00322E5A" w:rsidP="000B5724">
      <w:pPr>
        <w:spacing w:line="360" w:lineRule="auto"/>
        <w:ind w:firstLine="1440"/>
        <w:rPr>
          <w:sz w:val="26"/>
          <w:szCs w:val="26"/>
        </w:rPr>
      </w:pPr>
      <w:r>
        <w:rPr>
          <w:sz w:val="26"/>
          <w:szCs w:val="26"/>
        </w:rPr>
        <w:t>13.</w:t>
      </w:r>
      <w:r>
        <w:rPr>
          <w:sz w:val="26"/>
          <w:szCs w:val="26"/>
        </w:rPr>
        <w:tab/>
      </w:r>
      <w:r w:rsidR="00A03DFA">
        <w:rPr>
          <w:sz w:val="26"/>
          <w:szCs w:val="26"/>
        </w:rPr>
        <w:t xml:space="preserve">That Pennsylvania Electric Company shall submit </w:t>
      </w:r>
      <w:r w:rsidR="006F10B1">
        <w:rPr>
          <w:sz w:val="26"/>
          <w:szCs w:val="26"/>
        </w:rPr>
        <w:t xml:space="preserve">with its revised Energy Efficiency and Conservation Plan a revised cost recovery mechanism and appropriate tariffs, </w:t>
      </w:r>
      <w:r w:rsidR="00F8667F">
        <w:rPr>
          <w:sz w:val="26"/>
          <w:szCs w:val="26"/>
        </w:rPr>
        <w:t>consistent with the modifications directed in this Opinion and Order</w:t>
      </w:r>
      <w:r w:rsidR="00A03DFA">
        <w:rPr>
          <w:sz w:val="26"/>
          <w:szCs w:val="26"/>
        </w:rPr>
        <w:t xml:space="preserve">.  </w:t>
      </w:r>
    </w:p>
    <w:p w:rsidR="00A606B7" w:rsidRDefault="00A606B7" w:rsidP="00A606B7">
      <w:pPr>
        <w:widowControl w:val="0"/>
        <w:spacing w:line="360" w:lineRule="auto"/>
        <w:ind w:firstLine="1440"/>
        <w:rPr>
          <w:sz w:val="26"/>
          <w:szCs w:val="26"/>
        </w:rPr>
      </w:pPr>
    </w:p>
    <w:p w:rsidR="00934A95" w:rsidRDefault="00934A95">
      <w:pPr>
        <w:spacing w:after="200" w:line="276" w:lineRule="auto"/>
        <w:rPr>
          <w:sz w:val="26"/>
          <w:szCs w:val="26"/>
        </w:rPr>
      </w:pPr>
      <w:r>
        <w:rPr>
          <w:sz w:val="26"/>
          <w:szCs w:val="26"/>
        </w:rPr>
        <w:br w:type="page"/>
      </w:r>
    </w:p>
    <w:p w:rsidR="00322E5A" w:rsidRDefault="00322E5A" w:rsidP="00322E5A">
      <w:pPr>
        <w:widowControl w:val="0"/>
        <w:spacing w:line="360" w:lineRule="auto"/>
        <w:ind w:firstLine="1440"/>
        <w:rPr>
          <w:sz w:val="26"/>
          <w:szCs w:val="26"/>
        </w:rPr>
      </w:pPr>
      <w:r>
        <w:rPr>
          <w:sz w:val="26"/>
          <w:szCs w:val="26"/>
        </w:rPr>
        <w:lastRenderedPageBreak/>
        <w:t>14.</w:t>
      </w:r>
      <w:r>
        <w:rPr>
          <w:sz w:val="26"/>
          <w:szCs w:val="26"/>
        </w:rPr>
        <w:tab/>
        <w:t>That Pennsylvania Electric Company is permitted to implement any portion of its Energy Efficiency and Conservation Plan that was approved without modification by this Opinion and Order.</w:t>
      </w:r>
    </w:p>
    <w:p w:rsidR="00322E5A" w:rsidRDefault="00322E5A" w:rsidP="00A606B7">
      <w:pPr>
        <w:widowControl w:val="0"/>
        <w:spacing w:line="360" w:lineRule="auto"/>
        <w:ind w:firstLine="1440"/>
        <w:rPr>
          <w:sz w:val="26"/>
          <w:szCs w:val="26"/>
        </w:rPr>
      </w:pPr>
    </w:p>
    <w:p w:rsidR="00A606B7" w:rsidRDefault="00322E5A" w:rsidP="00A606B7">
      <w:pPr>
        <w:widowControl w:val="0"/>
        <w:spacing w:line="360" w:lineRule="auto"/>
        <w:ind w:firstLine="1440"/>
        <w:rPr>
          <w:sz w:val="26"/>
          <w:szCs w:val="26"/>
        </w:rPr>
      </w:pPr>
      <w:r>
        <w:rPr>
          <w:sz w:val="26"/>
          <w:szCs w:val="26"/>
        </w:rPr>
        <w:t>15</w:t>
      </w:r>
      <w:r w:rsidR="00A606B7">
        <w:rPr>
          <w:sz w:val="26"/>
          <w:szCs w:val="26"/>
        </w:rPr>
        <w:t>.</w:t>
      </w:r>
      <w:r w:rsidR="00A606B7">
        <w:rPr>
          <w:sz w:val="26"/>
          <w:szCs w:val="26"/>
        </w:rPr>
        <w:tab/>
        <w:t xml:space="preserve">That Pennsylvania Electric Company shall </w:t>
      </w:r>
      <w:r w:rsidR="00A606B7" w:rsidRPr="009C1190">
        <w:rPr>
          <w:sz w:val="26"/>
          <w:szCs w:val="26"/>
        </w:rPr>
        <w:t>meet with stakeholders as ne</w:t>
      </w:r>
      <w:r w:rsidR="00BB67A3">
        <w:rPr>
          <w:sz w:val="26"/>
          <w:szCs w:val="26"/>
        </w:rPr>
        <w:t>eded, but no less than twice annually</w:t>
      </w:r>
      <w:r w:rsidR="00A606B7" w:rsidRPr="009C1190">
        <w:rPr>
          <w:sz w:val="26"/>
          <w:szCs w:val="26"/>
        </w:rPr>
        <w:t>, until May 31, 2013, unless otherwise ordered by the Commission</w:t>
      </w:r>
      <w:r w:rsidR="00AF164F">
        <w:rPr>
          <w:sz w:val="26"/>
          <w:szCs w:val="26"/>
        </w:rPr>
        <w:t>, for a collaborative exchange concerning the implementation of its Energy Efficiency and Conservation Plan</w:t>
      </w:r>
      <w:r w:rsidR="00A606B7">
        <w:rPr>
          <w:sz w:val="26"/>
          <w:szCs w:val="26"/>
        </w:rPr>
        <w:t>.</w:t>
      </w:r>
    </w:p>
    <w:p w:rsidR="00A606B7" w:rsidRDefault="00A606B7" w:rsidP="00A606B7">
      <w:pPr>
        <w:widowControl w:val="0"/>
        <w:spacing w:line="360" w:lineRule="auto"/>
        <w:ind w:firstLine="1440"/>
        <w:rPr>
          <w:sz w:val="26"/>
          <w:szCs w:val="26"/>
        </w:rPr>
      </w:pPr>
    </w:p>
    <w:p w:rsidR="00E26D46" w:rsidRDefault="00322E5A" w:rsidP="00E26D46">
      <w:pPr>
        <w:spacing w:line="360" w:lineRule="auto"/>
        <w:ind w:firstLine="1440"/>
        <w:rPr>
          <w:sz w:val="26"/>
          <w:szCs w:val="26"/>
        </w:rPr>
      </w:pPr>
      <w:r>
        <w:rPr>
          <w:sz w:val="26"/>
          <w:szCs w:val="26"/>
        </w:rPr>
        <w:t>16</w:t>
      </w:r>
      <w:r w:rsidR="00E26D46">
        <w:rPr>
          <w:sz w:val="26"/>
          <w:szCs w:val="26"/>
        </w:rPr>
        <w:t>.</w:t>
      </w:r>
      <w:r w:rsidR="00E26D46">
        <w:rPr>
          <w:sz w:val="26"/>
          <w:szCs w:val="26"/>
        </w:rPr>
        <w:tab/>
        <w:t>That Pennsylvania Electric Company will not include capital costs recovered through the EEC-C rider in future rate case proceedings.</w:t>
      </w:r>
    </w:p>
    <w:p w:rsidR="00E26D46" w:rsidRDefault="00E26D46" w:rsidP="00A606B7">
      <w:pPr>
        <w:widowControl w:val="0"/>
        <w:spacing w:line="360" w:lineRule="auto"/>
        <w:ind w:firstLine="1440"/>
        <w:rPr>
          <w:sz w:val="26"/>
          <w:szCs w:val="26"/>
        </w:rPr>
      </w:pPr>
    </w:p>
    <w:p w:rsidR="002B40C2" w:rsidRDefault="00322E5A" w:rsidP="00E26D46">
      <w:pPr>
        <w:spacing w:line="360" w:lineRule="auto"/>
        <w:ind w:firstLine="1440"/>
        <w:rPr>
          <w:sz w:val="26"/>
          <w:szCs w:val="26"/>
        </w:rPr>
      </w:pPr>
      <w:r>
        <w:rPr>
          <w:sz w:val="26"/>
          <w:szCs w:val="26"/>
        </w:rPr>
        <w:t>17</w:t>
      </w:r>
      <w:r w:rsidR="00510A1A">
        <w:rPr>
          <w:sz w:val="26"/>
          <w:szCs w:val="26"/>
        </w:rPr>
        <w:t>.</w:t>
      </w:r>
      <w:r w:rsidR="00E26D46">
        <w:rPr>
          <w:sz w:val="26"/>
          <w:szCs w:val="26"/>
        </w:rPr>
        <w:tab/>
        <w:t xml:space="preserve">That Pennsylvania Electric Company </w:t>
      </w:r>
      <w:r w:rsidR="00F643FB">
        <w:rPr>
          <w:sz w:val="26"/>
          <w:szCs w:val="26"/>
        </w:rPr>
        <w:t>shall bid</w:t>
      </w:r>
      <w:r w:rsidR="00E26D46">
        <w:rPr>
          <w:sz w:val="26"/>
          <w:szCs w:val="26"/>
        </w:rPr>
        <w:t xml:space="preserve"> qualifying energy efficiency and demand response resources into the PJM RPM Auction and credit customers for the value received in the cost recovery mechanism, less administrative and credit requirement costs.</w:t>
      </w:r>
    </w:p>
    <w:p w:rsidR="002B40C2" w:rsidRDefault="002B40C2" w:rsidP="00E26D46">
      <w:pPr>
        <w:spacing w:line="360" w:lineRule="auto"/>
        <w:ind w:firstLine="1440"/>
        <w:rPr>
          <w:sz w:val="26"/>
          <w:szCs w:val="26"/>
        </w:rPr>
      </w:pPr>
    </w:p>
    <w:p w:rsidR="002B40C2" w:rsidRDefault="00322E5A" w:rsidP="002B40C2">
      <w:pPr>
        <w:spacing w:line="360" w:lineRule="auto"/>
        <w:ind w:firstLine="1440"/>
        <w:rPr>
          <w:sz w:val="26"/>
          <w:szCs w:val="26"/>
        </w:rPr>
      </w:pPr>
      <w:r>
        <w:rPr>
          <w:sz w:val="26"/>
          <w:szCs w:val="26"/>
        </w:rPr>
        <w:t>18</w:t>
      </w:r>
      <w:r w:rsidR="002B40C2">
        <w:rPr>
          <w:sz w:val="26"/>
          <w:szCs w:val="26"/>
        </w:rPr>
        <w:t>.</w:t>
      </w:r>
      <w:r w:rsidR="002B40C2">
        <w:rPr>
          <w:sz w:val="26"/>
          <w:szCs w:val="26"/>
        </w:rPr>
        <w:tab/>
        <w:t xml:space="preserve">That Pennsylvania Electric Company </w:t>
      </w:r>
      <w:r w:rsidR="006F10B1">
        <w:rPr>
          <w:sz w:val="26"/>
          <w:szCs w:val="26"/>
        </w:rPr>
        <w:t xml:space="preserve">shall </w:t>
      </w:r>
      <w:r w:rsidR="002B40C2">
        <w:rPr>
          <w:sz w:val="26"/>
          <w:szCs w:val="26"/>
        </w:rPr>
        <w:t>provide an updated TRC analysis of its Energy Efficiency and Conservation Plan as part of its annual report to the Commission.</w:t>
      </w:r>
    </w:p>
    <w:p w:rsidR="00E26D46" w:rsidRDefault="00E26D46" w:rsidP="00E26D46">
      <w:pPr>
        <w:spacing w:line="360" w:lineRule="auto"/>
        <w:ind w:firstLine="1440"/>
        <w:rPr>
          <w:sz w:val="26"/>
          <w:szCs w:val="26"/>
        </w:rPr>
      </w:pPr>
      <w:r>
        <w:rPr>
          <w:sz w:val="26"/>
          <w:szCs w:val="26"/>
        </w:rPr>
        <w:t xml:space="preserve">  </w:t>
      </w:r>
    </w:p>
    <w:p w:rsidR="00F67415" w:rsidRDefault="00322E5A" w:rsidP="00F67415">
      <w:pPr>
        <w:spacing w:line="360" w:lineRule="auto"/>
        <w:ind w:firstLine="1440"/>
        <w:rPr>
          <w:sz w:val="26"/>
          <w:szCs w:val="26"/>
        </w:rPr>
      </w:pPr>
      <w:r>
        <w:rPr>
          <w:bCs/>
          <w:sz w:val="26"/>
          <w:szCs w:val="26"/>
        </w:rPr>
        <w:t>19</w:t>
      </w:r>
      <w:r w:rsidR="0015521D">
        <w:rPr>
          <w:bCs/>
          <w:sz w:val="26"/>
          <w:szCs w:val="26"/>
        </w:rPr>
        <w:t>.</w:t>
      </w:r>
      <w:r w:rsidR="00F67415">
        <w:rPr>
          <w:bCs/>
          <w:sz w:val="26"/>
          <w:szCs w:val="26"/>
        </w:rPr>
        <w:tab/>
        <w:t xml:space="preserve">That Pennsylvania Electric Company </w:t>
      </w:r>
      <w:r w:rsidR="00625B20">
        <w:rPr>
          <w:bCs/>
          <w:sz w:val="26"/>
          <w:szCs w:val="26"/>
        </w:rPr>
        <w:t xml:space="preserve">shall </w:t>
      </w:r>
      <w:r w:rsidR="00F67415">
        <w:rPr>
          <w:sz w:val="26"/>
          <w:szCs w:val="26"/>
        </w:rPr>
        <w:t xml:space="preserve">track appropriate data regarding fuel switching, in coordination with the Statewide Evaluator, including at least the following: (1) type of appliance </w:t>
      </w:r>
      <w:r w:rsidR="00BB67A3">
        <w:rPr>
          <w:sz w:val="26"/>
          <w:szCs w:val="26"/>
        </w:rPr>
        <w:t xml:space="preserve">or equipment </w:t>
      </w:r>
      <w:r w:rsidR="00F67415">
        <w:rPr>
          <w:sz w:val="26"/>
          <w:szCs w:val="26"/>
        </w:rPr>
        <w:t xml:space="preserve">being replaced; (2) the availability of natural gas at the customer’s location or immediate area; and, (3) whether electric appliances </w:t>
      </w:r>
      <w:r w:rsidR="00BB67A3">
        <w:rPr>
          <w:sz w:val="26"/>
          <w:szCs w:val="26"/>
        </w:rPr>
        <w:t xml:space="preserve">or equipment </w:t>
      </w:r>
      <w:r w:rsidR="00F67415">
        <w:rPr>
          <w:sz w:val="26"/>
          <w:szCs w:val="26"/>
        </w:rPr>
        <w:t xml:space="preserve">were installed in areas where natural gas is available.  </w:t>
      </w:r>
    </w:p>
    <w:p w:rsidR="00A606B7" w:rsidRDefault="00A606B7" w:rsidP="00A606B7">
      <w:pPr>
        <w:widowControl w:val="0"/>
        <w:spacing w:line="360" w:lineRule="auto"/>
        <w:ind w:firstLine="1440"/>
        <w:rPr>
          <w:sz w:val="26"/>
          <w:szCs w:val="26"/>
        </w:rPr>
      </w:pPr>
    </w:p>
    <w:p w:rsidR="006200D8" w:rsidRDefault="00322E5A" w:rsidP="00D47468">
      <w:pPr>
        <w:spacing w:line="360" w:lineRule="auto"/>
        <w:ind w:firstLine="1440"/>
        <w:rPr>
          <w:sz w:val="26"/>
          <w:szCs w:val="26"/>
        </w:rPr>
      </w:pPr>
      <w:r>
        <w:rPr>
          <w:sz w:val="26"/>
          <w:szCs w:val="26"/>
        </w:rPr>
        <w:lastRenderedPageBreak/>
        <w:t>20</w:t>
      </w:r>
      <w:r w:rsidR="0015521D">
        <w:rPr>
          <w:sz w:val="26"/>
          <w:szCs w:val="26"/>
        </w:rPr>
        <w:t>.</w:t>
      </w:r>
      <w:r w:rsidR="0015521D">
        <w:rPr>
          <w:sz w:val="26"/>
          <w:szCs w:val="26"/>
        </w:rPr>
        <w:tab/>
      </w:r>
      <w:r w:rsidR="00C002FA">
        <w:rPr>
          <w:sz w:val="26"/>
          <w:szCs w:val="26"/>
        </w:rPr>
        <w:t>That Pennsylvania Power Company’s Energy Efficiency and Conservation Plan, as filed on September 21, 2009, is approved</w:t>
      </w:r>
      <w:r w:rsidR="006F10B1">
        <w:rPr>
          <w:sz w:val="26"/>
          <w:szCs w:val="26"/>
        </w:rPr>
        <w:t xml:space="preserve"> in part and rejected in part</w:t>
      </w:r>
      <w:r w:rsidR="00C002FA">
        <w:rPr>
          <w:sz w:val="26"/>
          <w:szCs w:val="26"/>
        </w:rPr>
        <w:t xml:space="preserve">, consistent with this </w:t>
      </w:r>
      <w:r w:rsidR="003A5D24">
        <w:rPr>
          <w:sz w:val="26"/>
          <w:szCs w:val="26"/>
        </w:rPr>
        <w:t>Opinion and Order</w:t>
      </w:r>
      <w:r w:rsidR="00C002FA">
        <w:rPr>
          <w:sz w:val="26"/>
          <w:szCs w:val="26"/>
        </w:rPr>
        <w:t xml:space="preserve">.  </w:t>
      </w:r>
    </w:p>
    <w:p w:rsidR="00322E5A" w:rsidRDefault="00322E5A" w:rsidP="00D47468">
      <w:pPr>
        <w:spacing w:line="360" w:lineRule="auto"/>
        <w:ind w:firstLine="1440"/>
        <w:rPr>
          <w:sz w:val="26"/>
          <w:szCs w:val="26"/>
        </w:rPr>
      </w:pPr>
    </w:p>
    <w:p w:rsidR="00322E5A" w:rsidRDefault="00322E5A" w:rsidP="00322E5A">
      <w:pPr>
        <w:spacing w:line="360" w:lineRule="auto"/>
        <w:ind w:firstLine="1440"/>
        <w:rPr>
          <w:sz w:val="26"/>
          <w:szCs w:val="26"/>
        </w:rPr>
      </w:pPr>
      <w:r>
        <w:rPr>
          <w:sz w:val="26"/>
          <w:szCs w:val="26"/>
        </w:rPr>
        <w:t>21.</w:t>
      </w:r>
      <w:r w:rsidRPr="00322E5A">
        <w:rPr>
          <w:sz w:val="26"/>
          <w:szCs w:val="26"/>
        </w:rPr>
        <w:t xml:space="preserve"> </w:t>
      </w:r>
      <w:r>
        <w:rPr>
          <w:sz w:val="26"/>
          <w:szCs w:val="26"/>
        </w:rPr>
        <w:tab/>
        <w:t xml:space="preserve">That Pennsylvania Power Company shall file with this Commission and serve on all </w:t>
      </w:r>
      <w:r w:rsidR="005843D4">
        <w:rPr>
          <w:sz w:val="26"/>
          <w:szCs w:val="26"/>
        </w:rPr>
        <w:t>P</w:t>
      </w:r>
      <w:r>
        <w:rPr>
          <w:sz w:val="26"/>
          <w:szCs w:val="26"/>
        </w:rPr>
        <w:t xml:space="preserve">arties of record in this proceeding a revised Energy Efficiency and Conservation Plan consistent with the modifications directed in this Opinion and Order, within sixty days of the entry of this Opinion and Order.  Interested parties will have ten days to file comments on the revised portions of the Energy Efficiency and Conservation Plan, with reply comments due ten days thereafter.  The Commission will approve or reject the revised portions of the Energy Efficiency and Conservation Plan at a public meeting within sixty days of the </w:t>
      </w:r>
      <w:r w:rsidR="0052113D">
        <w:rPr>
          <w:sz w:val="26"/>
          <w:szCs w:val="26"/>
        </w:rPr>
        <w:t xml:space="preserve">date of </w:t>
      </w:r>
      <w:r>
        <w:rPr>
          <w:sz w:val="26"/>
          <w:szCs w:val="26"/>
        </w:rPr>
        <w:t xml:space="preserve">filing </w:t>
      </w:r>
      <w:r w:rsidR="0052113D">
        <w:rPr>
          <w:sz w:val="26"/>
          <w:szCs w:val="26"/>
        </w:rPr>
        <w:t>the revised P</w:t>
      </w:r>
      <w:r>
        <w:rPr>
          <w:sz w:val="26"/>
          <w:szCs w:val="26"/>
        </w:rPr>
        <w:t>lan.</w:t>
      </w:r>
    </w:p>
    <w:p w:rsidR="00322E5A" w:rsidRDefault="00322E5A" w:rsidP="00D47468">
      <w:pPr>
        <w:spacing w:line="360" w:lineRule="auto"/>
        <w:ind w:firstLine="1440"/>
        <w:rPr>
          <w:sz w:val="26"/>
          <w:szCs w:val="26"/>
        </w:rPr>
      </w:pPr>
    </w:p>
    <w:p w:rsidR="00F8667F" w:rsidRDefault="00322E5A" w:rsidP="00C2330E">
      <w:pPr>
        <w:spacing w:line="360" w:lineRule="auto"/>
        <w:ind w:firstLine="1440"/>
        <w:rPr>
          <w:sz w:val="26"/>
          <w:szCs w:val="26"/>
        </w:rPr>
      </w:pPr>
      <w:r>
        <w:rPr>
          <w:sz w:val="26"/>
          <w:szCs w:val="26"/>
        </w:rPr>
        <w:t>22</w:t>
      </w:r>
      <w:r w:rsidR="00A606B7">
        <w:rPr>
          <w:sz w:val="26"/>
          <w:szCs w:val="26"/>
        </w:rPr>
        <w:t>.</w:t>
      </w:r>
      <w:r w:rsidR="00A606B7">
        <w:rPr>
          <w:sz w:val="26"/>
          <w:szCs w:val="26"/>
        </w:rPr>
        <w:tab/>
        <w:t xml:space="preserve">That Pennsylvania Power Company </w:t>
      </w:r>
      <w:r w:rsidR="00190841">
        <w:rPr>
          <w:sz w:val="26"/>
          <w:szCs w:val="26"/>
        </w:rPr>
        <w:t>shall</w:t>
      </w:r>
      <w:r w:rsidR="00A03DFA">
        <w:rPr>
          <w:sz w:val="26"/>
          <w:szCs w:val="26"/>
        </w:rPr>
        <w:t xml:space="preserve"> submit </w:t>
      </w:r>
      <w:r w:rsidR="006F10B1">
        <w:rPr>
          <w:sz w:val="26"/>
          <w:szCs w:val="26"/>
        </w:rPr>
        <w:t xml:space="preserve">with its revised Energy Efficiency and Conservation Plan </w:t>
      </w:r>
      <w:r w:rsidR="00A03DFA">
        <w:rPr>
          <w:sz w:val="26"/>
          <w:szCs w:val="26"/>
        </w:rPr>
        <w:t>a revised cost recovery mechanism</w:t>
      </w:r>
      <w:r w:rsidR="006F10B1">
        <w:rPr>
          <w:sz w:val="26"/>
          <w:szCs w:val="26"/>
        </w:rPr>
        <w:t xml:space="preserve"> and appropriate tariffs</w:t>
      </w:r>
      <w:r w:rsidR="00190841">
        <w:rPr>
          <w:sz w:val="26"/>
          <w:szCs w:val="26"/>
        </w:rPr>
        <w:t xml:space="preserve">, </w:t>
      </w:r>
      <w:r w:rsidR="00F8667F">
        <w:rPr>
          <w:sz w:val="26"/>
          <w:szCs w:val="26"/>
        </w:rPr>
        <w:t>consistent with the modifications directed in this Opinion and Order.</w:t>
      </w:r>
    </w:p>
    <w:p w:rsidR="00F8667F" w:rsidRDefault="00F8667F" w:rsidP="00C2330E">
      <w:pPr>
        <w:spacing w:line="360" w:lineRule="auto"/>
        <w:ind w:firstLine="1440"/>
        <w:rPr>
          <w:sz w:val="26"/>
          <w:szCs w:val="26"/>
        </w:rPr>
      </w:pPr>
    </w:p>
    <w:p w:rsidR="005E7929" w:rsidRDefault="000D029C" w:rsidP="005E7929">
      <w:pPr>
        <w:widowControl w:val="0"/>
        <w:spacing w:line="360" w:lineRule="auto"/>
        <w:ind w:firstLine="1440"/>
        <w:rPr>
          <w:sz w:val="26"/>
          <w:szCs w:val="26"/>
        </w:rPr>
      </w:pPr>
      <w:r>
        <w:rPr>
          <w:sz w:val="26"/>
          <w:szCs w:val="26"/>
        </w:rPr>
        <w:t>23.</w:t>
      </w:r>
      <w:r>
        <w:rPr>
          <w:sz w:val="26"/>
          <w:szCs w:val="26"/>
        </w:rPr>
        <w:tab/>
        <w:t>That Pennsylvania Power</w:t>
      </w:r>
      <w:r w:rsidR="005E7929">
        <w:rPr>
          <w:sz w:val="26"/>
          <w:szCs w:val="26"/>
        </w:rPr>
        <w:t xml:space="preserve"> Company is permitted to implement any portion of its Energy Efficiency and Conservation Plan that was approved without modification by this Opinion and Order.</w:t>
      </w:r>
    </w:p>
    <w:p w:rsidR="005E7929" w:rsidRDefault="005E7929" w:rsidP="00C2330E">
      <w:pPr>
        <w:spacing w:line="360" w:lineRule="auto"/>
        <w:ind w:firstLine="1440"/>
        <w:rPr>
          <w:sz w:val="26"/>
          <w:szCs w:val="26"/>
        </w:rPr>
      </w:pPr>
    </w:p>
    <w:p w:rsidR="00CB56F9" w:rsidRDefault="005E7929" w:rsidP="005E7929">
      <w:pPr>
        <w:widowControl w:val="0"/>
        <w:spacing w:line="360" w:lineRule="auto"/>
        <w:ind w:firstLine="1440"/>
        <w:rPr>
          <w:sz w:val="26"/>
          <w:szCs w:val="26"/>
        </w:rPr>
      </w:pPr>
      <w:r>
        <w:rPr>
          <w:sz w:val="26"/>
          <w:szCs w:val="26"/>
        </w:rPr>
        <w:t>24.</w:t>
      </w:r>
      <w:r w:rsidR="00342E33">
        <w:rPr>
          <w:sz w:val="26"/>
          <w:szCs w:val="26"/>
        </w:rPr>
        <w:tab/>
      </w:r>
      <w:r w:rsidR="00CB56F9">
        <w:rPr>
          <w:sz w:val="26"/>
          <w:szCs w:val="26"/>
        </w:rPr>
        <w:t xml:space="preserve">That </w:t>
      </w:r>
      <w:r w:rsidR="00A606B7">
        <w:rPr>
          <w:sz w:val="26"/>
          <w:szCs w:val="26"/>
        </w:rPr>
        <w:t>P</w:t>
      </w:r>
      <w:r w:rsidR="00987B1B">
        <w:rPr>
          <w:sz w:val="26"/>
          <w:szCs w:val="26"/>
        </w:rPr>
        <w:t xml:space="preserve">ennsylvania Power Company shall </w:t>
      </w:r>
      <w:r w:rsidR="00987B1B" w:rsidRPr="009C1190">
        <w:rPr>
          <w:sz w:val="26"/>
          <w:szCs w:val="26"/>
        </w:rPr>
        <w:t xml:space="preserve">meet with stakeholders as needed, </w:t>
      </w:r>
      <w:r w:rsidR="00BB67A3">
        <w:rPr>
          <w:sz w:val="26"/>
          <w:szCs w:val="26"/>
        </w:rPr>
        <w:t>but no less than twice annually</w:t>
      </w:r>
      <w:r w:rsidR="00987B1B" w:rsidRPr="009C1190">
        <w:rPr>
          <w:sz w:val="26"/>
          <w:szCs w:val="26"/>
        </w:rPr>
        <w:t>, until May 31, 2013, unless otherwise ordered by the Commission</w:t>
      </w:r>
      <w:r w:rsidR="00AF164F">
        <w:rPr>
          <w:sz w:val="26"/>
          <w:szCs w:val="26"/>
        </w:rPr>
        <w:t>, for a collaborative exchange concerning the implementation of its Energy Efficiency and Conservation Plan</w:t>
      </w:r>
      <w:r w:rsidR="00987B1B">
        <w:rPr>
          <w:sz w:val="26"/>
          <w:szCs w:val="26"/>
        </w:rPr>
        <w:t>.</w:t>
      </w:r>
    </w:p>
    <w:p w:rsidR="007D57C3" w:rsidRDefault="007D57C3" w:rsidP="005D1DB1">
      <w:pPr>
        <w:widowControl w:val="0"/>
        <w:spacing w:line="360" w:lineRule="auto"/>
        <w:ind w:firstLine="1440"/>
        <w:rPr>
          <w:sz w:val="26"/>
          <w:szCs w:val="26"/>
        </w:rPr>
      </w:pPr>
    </w:p>
    <w:p w:rsidR="007D57C3" w:rsidRDefault="005E7929" w:rsidP="007D57C3">
      <w:pPr>
        <w:spacing w:line="360" w:lineRule="auto"/>
        <w:ind w:firstLine="1440"/>
        <w:rPr>
          <w:sz w:val="26"/>
          <w:szCs w:val="26"/>
        </w:rPr>
      </w:pPr>
      <w:r>
        <w:rPr>
          <w:sz w:val="26"/>
          <w:szCs w:val="26"/>
        </w:rPr>
        <w:t>25</w:t>
      </w:r>
      <w:r w:rsidR="007D57C3">
        <w:rPr>
          <w:sz w:val="26"/>
          <w:szCs w:val="26"/>
        </w:rPr>
        <w:t>.</w:t>
      </w:r>
      <w:r w:rsidR="007D57C3">
        <w:rPr>
          <w:sz w:val="26"/>
          <w:szCs w:val="26"/>
        </w:rPr>
        <w:tab/>
        <w:t>That Pennsylvania Power Company will not include capital costs recovered through the EEC-C rider in future rate case proceedings.</w:t>
      </w:r>
    </w:p>
    <w:p w:rsidR="002B40C2" w:rsidRDefault="002B40C2" w:rsidP="007D57C3">
      <w:pPr>
        <w:spacing w:line="360" w:lineRule="auto"/>
        <w:ind w:firstLine="1440"/>
        <w:rPr>
          <w:sz w:val="26"/>
          <w:szCs w:val="26"/>
        </w:rPr>
      </w:pPr>
    </w:p>
    <w:p w:rsidR="002B40C2" w:rsidRDefault="005E7929" w:rsidP="002B40C2">
      <w:pPr>
        <w:spacing w:line="360" w:lineRule="auto"/>
        <w:ind w:firstLine="1440"/>
        <w:rPr>
          <w:sz w:val="26"/>
          <w:szCs w:val="26"/>
        </w:rPr>
      </w:pPr>
      <w:r>
        <w:rPr>
          <w:sz w:val="26"/>
          <w:szCs w:val="26"/>
        </w:rPr>
        <w:lastRenderedPageBreak/>
        <w:t>26</w:t>
      </w:r>
      <w:r w:rsidR="002B40C2">
        <w:rPr>
          <w:sz w:val="26"/>
          <w:szCs w:val="26"/>
        </w:rPr>
        <w:t>.</w:t>
      </w:r>
      <w:r w:rsidR="002B40C2">
        <w:rPr>
          <w:sz w:val="26"/>
          <w:szCs w:val="26"/>
        </w:rPr>
        <w:tab/>
        <w:t xml:space="preserve">That Pennsylvania Power Company </w:t>
      </w:r>
      <w:r w:rsidR="003F60BD">
        <w:rPr>
          <w:sz w:val="26"/>
          <w:szCs w:val="26"/>
        </w:rPr>
        <w:t xml:space="preserve">shall </w:t>
      </w:r>
      <w:r w:rsidR="002B40C2">
        <w:rPr>
          <w:sz w:val="26"/>
          <w:szCs w:val="26"/>
        </w:rPr>
        <w:t>provide an updated TRC analysis of its Energy Efficiency and Conservation Plan as part of its annual report to the Commission.</w:t>
      </w:r>
    </w:p>
    <w:p w:rsidR="00F67415" w:rsidRDefault="00F67415" w:rsidP="002B40C2">
      <w:pPr>
        <w:spacing w:line="360" w:lineRule="auto"/>
        <w:ind w:firstLine="1440"/>
        <w:rPr>
          <w:sz w:val="26"/>
          <w:szCs w:val="26"/>
        </w:rPr>
      </w:pPr>
    </w:p>
    <w:p w:rsidR="00F67415" w:rsidRDefault="005E7929" w:rsidP="00F67415">
      <w:pPr>
        <w:spacing w:line="360" w:lineRule="auto"/>
        <w:ind w:firstLine="1440"/>
        <w:rPr>
          <w:sz w:val="26"/>
          <w:szCs w:val="26"/>
        </w:rPr>
      </w:pPr>
      <w:r>
        <w:rPr>
          <w:bCs/>
          <w:sz w:val="26"/>
          <w:szCs w:val="26"/>
        </w:rPr>
        <w:t>27</w:t>
      </w:r>
      <w:r w:rsidR="0015521D">
        <w:rPr>
          <w:bCs/>
          <w:sz w:val="26"/>
          <w:szCs w:val="26"/>
        </w:rPr>
        <w:t>.</w:t>
      </w:r>
      <w:r w:rsidR="00F67415">
        <w:rPr>
          <w:bCs/>
          <w:sz w:val="26"/>
          <w:szCs w:val="26"/>
        </w:rPr>
        <w:tab/>
        <w:t xml:space="preserve">That Pennsylvania Power Company </w:t>
      </w:r>
      <w:r w:rsidR="00525400">
        <w:rPr>
          <w:bCs/>
          <w:sz w:val="26"/>
          <w:szCs w:val="26"/>
        </w:rPr>
        <w:t xml:space="preserve">shall </w:t>
      </w:r>
      <w:r w:rsidR="00F67415">
        <w:rPr>
          <w:sz w:val="26"/>
          <w:szCs w:val="26"/>
        </w:rPr>
        <w:t xml:space="preserve">track appropriate data regarding fuel switching, in coordination with the Statewide Evaluator, including at least the following: (1) type of appliance </w:t>
      </w:r>
      <w:r w:rsidR="00BB67A3">
        <w:rPr>
          <w:sz w:val="26"/>
          <w:szCs w:val="26"/>
        </w:rPr>
        <w:t xml:space="preserve">or equipment </w:t>
      </w:r>
      <w:r w:rsidR="00F67415">
        <w:rPr>
          <w:sz w:val="26"/>
          <w:szCs w:val="26"/>
        </w:rPr>
        <w:t xml:space="preserve">being replaced; (2) the availability of natural gas at the customer’s location or immediate area; and, (3) whether electric appliances </w:t>
      </w:r>
      <w:r w:rsidR="00BB67A3">
        <w:rPr>
          <w:sz w:val="26"/>
          <w:szCs w:val="26"/>
        </w:rPr>
        <w:t xml:space="preserve">or equipment </w:t>
      </w:r>
      <w:r w:rsidR="00F67415">
        <w:rPr>
          <w:sz w:val="26"/>
          <w:szCs w:val="26"/>
        </w:rPr>
        <w:t xml:space="preserve">were installed in areas where natural gas is available.  </w:t>
      </w:r>
    </w:p>
    <w:p w:rsidR="007D57C3" w:rsidRDefault="007D57C3" w:rsidP="005D1DB1">
      <w:pPr>
        <w:widowControl w:val="0"/>
        <w:spacing w:line="360" w:lineRule="auto"/>
        <w:ind w:firstLine="1440"/>
        <w:rPr>
          <w:sz w:val="26"/>
          <w:szCs w:val="26"/>
        </w:rPr>
      </w:pPr>
    </w:p>
    <w:p w:rsidR="00E26D46" w:rsidRDefault="005E7929" w:rsidP="00E26D46">
      <w:pPr>
        <w:spacing w:line="360" w:lineRule="auto"/>
        <w:ind w:firstLine="1440"/>
        <w:rPr>
          <w:sz w:val="26"/>
          <w:szCs w:val="26"/>
        </w:rPr>
      </w:pPr>
      <w:r>
        <w:rPr>
          <w:sz w:val="26"/>
          <w:szCs w:val="26"/>
        </w:rPr>
        <w:t>28</w:t>
      </w:r>
      <w:r w:rsidR="00E26D46">
        <w:rPr>
          <w:sz w:val="26"/>
          <w:szCs w:val="26"/>
        </w:rPr>
        <w:t>.</w:t>
      </w:r>
      <w:r w:rsidR="00E26D46">
        <w:rPr>
          <w:sz w:val="26"/>
          <w:szCs w:val="26"/>
        </w:rPr>
        <w:tab/>
        <w:t xml:space="preserve">That, upon joining PJM, </w:t>
      </w:r>
      <w:r w:rsidR="003D546E">
        <w:rPr>
          <w:sz w:val="26"/>
          <w:szCs w:val="26"/>
        </w:rPr>
        <w:t xml:space="preserve">the </w:t>
      </w:r>
      <w:r w:rsidR="00E26D46">
        <w:rPr>
          <w:sz w:val="26"/>
          <w:szCs w:val="26"/>
        </w:rPr>
        <w:t>Penn</w:t>
      </w:r>
      <w:r w:rsidR="003D546E">
        <w:rPr>
          <w:sz w:val="26"/>
          <w:szCs w:val="26"/>
        </w:rPr>
        <w:t>sylvania</w:t>
      </w:r>
      <w:r w:rsidR="00E26D46">
        <w:rPr>
          <w:sz w:val="26"/>
          <w:szCs w:val="26"/>
        </w:rPr>
        <w:t xml:space="preserve"> Power </w:t>
      </w:r>
      <w:r w:rsidR="003D546E">
        <w:rPr>
          <w:sz w:val="26"/>
          <w:szCs w:val="26"/>
        </w:rPr>
        <w:t xml:space="preserve">Company </w:t>
      </w:r>
      <w:r w:rsidR="00E26D46">
        <w:rPr>
          <w:sz w:val="26"/>
          <w:szCs w:val="26"/>
        </w:rPr>
        <w:t>shall bid qualifying energy efficiency and demand response resources into the PJM RPM Auction and credit customers for the value received in the cost recovery mechanism, less administrative and credit requirement costs.</w:t>
      </w:r>
    </w:p>
    <w:p w:rsidR="00DF5DC2" w:rsidRDefault="00DF5DC2" w:rsidP="00E26D46">
      <w:pPr>
        <w:spacing w:line="360" w:lineRule="auto"/>
        <w:ind w:firstLine="1440"/>
        <w:rPr>
          <w:sz w:val="26"/>
          <w:szCs w:val="26"/>
        </w:rPr>
      </w:pPr>
    </w:p>
    <w:p w:rsidR="00DF5DC2" w:rsidRDefault="005E7929" w:rsidP="00DF5DC2">
      <w:pPr>
        <w:spacing w:line="360" w:lineRule="auto"/>
        <w:ind w:firstLine="1440"/>
        <w:rPr>
          <w:sz w:val="26"/>
          <w:szCs w:val="26"/>
        </w:rPr>
      </w:pPr>
      <w:r>
        <w:rPr>
          <w:sz w:val="26"/>
          <w:szCs w:val="26"/>
        </w:rPr>
        <w:t>29</w:t>
      </w:r>
      <w:r w:rsidR="00DF5DC2">
        <w:rPr>
          <w:sz w:val="26"/>
          <w:szCs w:val="26"/>
        </w:rPr>
        <w:t>.</w:t>
      </w:r>
      <w:r w:rsidR="00DF5DC2">
        <w:rPr>
          <w:sz w:val="26"/>
          <w:szCs w:val="26"/>
        </w:rPr>
        <w:tab/>
        <w:t xml:space="preserve">That any directive, requirement, disposition or the like contained in the body of this </w:t>
      </w:r>
      <w:r w:rsidR="003A5D24">
        <w:rPr>
          <w:sz w:val="26"/>
          <w:szCs w:val="26"/>
        </w:rPr>
        <w:t>Opinion and Order</w:t>
      </w:r>
      <w:r w:rsidR="00DF5DC2">
        <w:rPr>
          <w:sz w:val="26"/>
          <w:szCs w:val="26"/>
        </w:rPr>
        <w:t xml:space="preserve"> that is not the subject of an individual Ordering Paragraph, shall have the full force and effect as if fully contained in this part.</w:t>
      </w:r>
    </w:p>
    <w:p w:rsidR="00510A1A" w:rsidRDefault="00510A1A" w:rsidP="00510A1A">
      <w:pPr>
        <w:spacing w:line="360" w:lineRule="auto"/>
        <w:ind w:firstLine="1440"/>
        <w:rPr>
          <w:sz w:val="26"/>
          <w:szCs w:val="26"/>
        </w:rPr>
      </w:pPr>
    </w:p>
    <w:p w:rsidR="003A1D4E" w:rsidRDefault="005E7929" w:rsidP="00D47468">
      <w:pPr>
        <w:spacing w:line="360" w:lineRule="auto"/>
        <w:ind w:firstLine="1440"/>
        <w:rPr>
          <w:sz w:val="26"/>
          <w:szCs w:val="26"/>
        </w:rPr>
      </w:pPr>
      <w:r>
        <w:rPr>
          <w:sz w:val="26"/>
          <w:szCs w:val="26"/>
        </w:rPr>
        <w:t>30</w:t>
      </w:r>
      <w:r w:rsidR="00510A1A">
        <w:rPr>
          <w:sz w:val="26"/>
          <w:szCs w:val="26"/>
        </w:rPr>
        <w:t>.</w:t>
      </w:r>
      <w:r w:rsidR="003A1D4E">
        <w:rPr>
          <w:sz w:val="26"/>
          <w:szCs w:val="26"/>
        </w:rPr>
        <w:tab/>
        <w:t xml:space="preserve">That the </w:t>
      </w:r>
      <w:r w:rsidR="00681EA3">
        <w:rPr>
          <w:sz w:val="26"/>
          <w:szCs w:val="26"/>
        </w:rPr>
        <w:t xml:space="preserve">Commission Staff </w:t>
      </w:r>
      <w:r w:rsidR="00AB270A">
        <w:rPr>
          <w:sz w:val="26"/>
          <w:szCs w:val="26"/>
        </w:rPr>
        <w:t>is directed to convene a Working G</w:t>
      </w:r>
      <w:r w:rsidR="003A1D4E">
        <w:rPr>
          <w:sz w:val="26"/>
          <w:szCs w:val="26"/>
        </w:rPr>
        <w:t xml:space="preserve">roup, composed of affected EDC representatives, consumer advocates, community-based organizations and other interested parties, to identify the standardized data to be used in determining the proper proportion for low-income households and clarify other matters affecting the annual reconciliation process. </w:t>
      </w:r>
    </w:p>
    <w:p w:rsidR="003A1D4E" w:rsidRDefault="003A1D4E" w:rsidP="00D47468">
      <w:pPr>
        <w:spacing w:line="360" w:lineRule="auto"/>
        <w:ind w:firstLine="1440"/>
        <w:rPr>
          <w:sz w:val="26"/>
          <w:szCs w:val="26"/>
        </w:rPr>
      </w:pPr>
    </w:p>
    <w:p w:rsidR="007D57C3" w:rsidRDefault="005E7929" w:rsidP="00D47468">
      <w:pPr>
        <w:spacing w:line="360" w:lineRule="auto"/>
        <w:ind w:firstLine="1440"/>
        <w:rPr>
          <w:sz w:val="26"/>
          <w:szCs w:val="26"/>
        </w:rPr>
      </w:pPr>
      <w:r>
        <w:rPr>
          <w:sz w:val="26"/>
          <w:szCs w:val="26"/>
        </w:rPr>
        <w:t>31</w:t>
      </w:r>
      <w:r w:rsidR="00AB270A">
        <w:rPr>
          <w:sz w:val="26"/>
          <w:szCs w:val="26"/>
        </w:rPr>
        <w:t>.</w:t>
      </w:r>
      <w:r w:rsidR="00AB270A">
        <w:rPr>
          <w:sz w:val="26"/>
          <w:szCs w:val="26"/>
        </w:rPr>
        <w:tab/>
        <w:t>That the Working G</w:t>
      </w:r>
      <w:r w:rsidR="003A1D4E">
        <w:rPr>
          <w:sz w:val="26"/>
          <w:szCs w:val="26"/>
        </w:rPr>
        <w:t xml:space="preserve">roup referenced above shall provide its recommendations to the Commission no later than February 16, 2010. </w:t>
      </w:r>
    </w:p>
    <w:p w:rsidR="00A67C12" w:rsidRDefault="00A67C12" w:rsidP="00D47468">
      <w:pPr>
        <w:spacing w:line="360" w:lineRule="auto"/>
        <w:ind w:firstLine="1440"/>
        <w:rPr>
          <w:sz w:val="26"/>
          <w:szCs w:val="26"/>
        </w:rPr>
      </w:pPr>
    </w:p>
    <w:p w:rsidR="00A67C12" w:rsidRDefault="005E7929" w:rsidP="00D47468">
      <w:pPr>
        <w:spacing w:line="360" w:lineRule="auto"/>
        <w:ind w:firstLine="1440"/>
        <w:rPr>
          <w:sz w:val="26"/>
          <w:szCs w:val="26"/>
        </w:rPr>
      </w:pPr>
      <w:r>
        <w:rPr>
          <w:sz w:val="26"/>
          <w:szCs w:val="26"/>
        </w:rPr>
        <w:lastRenderedPageBreak/>
        <w:t>32</w:t>
      </w:r>
      <w:r w:rsidR="00A67C12">
        <w:rPr>
          <w:sz w:val="26"/>
          <w:szCs w:val="26"/>
        </w:rPr>
        <w:t>.</w:t>
      </w:r>
      <w:r w:rsidR="00A67C12">
        <w:rPr>
          <w:sz w:val="26"/>
          <w:szCs w:val="26"/>
        </w:rPr>
        <w:tab/>
        <w:t xml:space="preserve">That Metropolitan Edison Company, Pennsylvania Electric Company and Pennsylvania Power Company each participate in the working group referenced </w:t>
      </w:r>
      <w:r w:rsidR="00681EA3">
        <w:rPr>
          <w:sz w:val="26"/>
          <w:szCs w:val="26"/>
        </w:rPr>
        <w:t>above</w:t>
      </w:r>
      <w:r w:rsidR="00A67C12">
        <w:rPr>
          <w:sz w:val="26"/>
          <w:szCs w:val="26"/>
        </w:rPr>
        <w:t>.</w:t>
      </w:r>
    </w:p>
    <w:p w:rsidR="00A67C12" w:rsidRDefault="00A67C12" w:rsidP="00D47468">
      <w:pPr>
        <w:spacing w:line="360" w:lineRule="auto"/>
        <w:ind w:firstLine="1440"/>
        <w:rPr>
          <w:sz w:val="26"/>
          <w:szCs w:val="26"/>
        </w:rPr>
      </w:pPr>
    </w:p>
    <w:p w:rsidR="00A67C12" w:rsidRDefault="005E7929" w:rsidP="00D47468">
      <w:pPr>
        <w:spacing w:line="360" w:lineRule="auto"/>
        <w:ind w:firstLine="1440"/>
        <w:rPr>
          <w:sz w:val="26"/>
          <w:szCs w:val="26"/>
        </w:rPr>
      </w:pPr>
      <w:r>
        <w:rPr>
          <w:sz w:val="26"/>
          <w:szCs w:val="26"/>
        </w:rPr>
        <w:t>33</w:t>
      </w:r>
      <w:r w:rsidR="00A67C12">
        <w:rPr>
          <w:sz w:val="26"/>
          <w:szCs w:val="26"/>
        </w:rPr>
        <w:t>.</w:t>
      </w:r>
      <w:r w:rsidR="00A67C12">
        <w:rPr>
          <w:sz w:val="26"/>
          <w:szCs w:val="26"/>
        </w:rPr>
        <w:tab/>
        <w:t xml:space="preserve">That the </w:t>
      </w:r>
      <w:r w:rsidR="00681EA3">
        <w:rPr>
          <w:sz w:val="26"/>
          <w:szCs w:val="26"/>
        </w:rPr>
        <w:t xml:space="preserve">Commission’s Working Group convened to address fuel </w:t>
      </w:r>
      <w:r w:rsidR="00A67C12">
        <w:rPr>
          <w:sz w:val="26"/>
          <w:szCs w:val="26"/>
        </w:rPr>
        <w:t xml:space="preserve">switching </w:t>
      </w:r>
      <w:r w:rsidR="00681EA3">
        <w:rPr>
          <w:sz w:val="26"/>
          <w:szCs w:val="26"/>
        </w:rPr>
        <w:t xml:space="preserve">issues shall </w:t>
      </w:r>
      <w:r w:rsidR="00616477">
        <w:rPr>
          <w:sz w:val="26"/>
          <w:szCs w:val="26"/>
        </w:rPr>
        <w:t>include</w:t>
      </w:r>
      <w:r w:rsidR="00681EA3">
        <w:rPr>
          <w:sz w:val="26"/>
          <w:szCs w:val="26"/>
        </w:rPr>
        <w:t>, as part of its report to the Commission due by March 31, 2010, the fuel switching i</w:t>
      </w:r>
      <w:r w:rsidR="00727037">
        <w:rPr>
          <w:sz w:val="26"/>
          <w:szCs w:val="26"/>
        </w:rPr>
        <w:t>ssues raised in this proceeding.</w:t>
      </w:r>
    </w:p>
    <w:p w:rsidR="006F2B1B" w:rsidRDefault="006F2B1B" w:rsidP="00D47468">
      <w:pPr>
        <w:spacing w:line="360" w:lineRule="auto"/>
        <w:ind w:firstLine="1440"/>
        <w:rPr>
          <w:sz w:val="26"/>
          <w:szCs w:val="26"/>
        </w:rPr>
      </w:pPr>
    </w:p>
    <w:p w:rsidR="004919C1" w:rsidRDefault="005E7929" w:rsidP="00D47468">
      <w:pPr>
        <w:spacing w:line="360" w:lineRule="auto"/>
        <w:ind w:firstLine="1440"/>
        <w:rPr>
          <w:sz w:val="26"/>
          <w:szCs w:val="26"/>
        </w:rPr>
      </w:pPr>
      <w:r>
        <w:rPr>
          <w:sz w:val="26"/>
          <w:szCs w:val="26"/>
        </w:rPr>
        <w:t>34</w:t>
      </w:r>
      <w:r w:rsidR="0015521D">
        <w:rPr>
          <w:sz w:val="26"/>
          <w:szCs w:val="26"/>
        </w:rPr>
        <w:t>.</w:t>
      </w:r>
      <w:r w:rsidR="0015521D">
        <w:rPr>
          <w:sz w:val="26"/>
          <w:szCs w:val="26"/>
        </w:rPr>
        <w:tab/>
      </w:r>
      <w:r w:rsidR="00A67C12">
        <w:rPr>
          <w:sz w:val="26"/>
          <w:szCs w:val="26"/>
        </w:rPr>
        <w:t xml:space="preserve">That a copy of this </w:t>
      </w:r>
      <w:r w:rsidR="003A5D24">
        <w:rPr>
          <w:sz w:val="26"/>
          <w:szCs w:val="26"/>
        </w:rPr>
        <w:t>Opinion and Order</w:t>
      </w:r>
      <w:r w:rsidR="00A67C12">
        <w:rPr>
          <w:sz w:val="26"/>
          <w:szCs w:val="26"/>
        </w:rPr>
        <w:t xml:space="preserve"> be s</w:t>
      </w:r>
      <w:r w:rsidR="006F2B1B">
        <w:rPr>
          <w:sz w:val="26"/>
          <w:szCs w:val="26"/>
        </w:rPr>
        <w:t>erv</w:t>
      </w:r>
      <w:r w:rsidR="00A67C12">
        <w:rPr>
          <w:sz w:val="26"/>
          <w:szCs w:val="26"/>
        </w:rPr>
        <w:t>ed</w:t>
      </w:r>
      <w:r w:rsidR="006F2B1B">
        <w:rPr>
          <w:sz w:val="26"/>
          <w:szCs w:val="26"/>
        </w:rPr>
        <w:t xml:space="preserve"> on </w:t>
      </w:r>
      <w:r w:rsidR="006B4BF8">
        <w:rPr>
          <w:sz w:val="26"/>
          <w:szCs w:val="26"/>
        </w:rPr>
        <w:t>Steven Pincus, Assistant General Counsel</w:t>
      </w:r>
      <w:r w:rsidR="00F643FB">
        <w:rPr>
          <w:sz w:val="26"/>
          <w:szCs w:val="26"/>
        </w:rPr>
        <w:t xml:space="preserve"> for the </w:t>
      </w:r>
      <w:r w:rsidR="006F2B1B">
        <w:rPr>
          <w:sz w:val="26"/>
          <w:szCs w:val="26"/>
        </w:rPr>
        <w:t>PJM</w:t>
      </w:r>
      <w:r w:rsidR="00BC6A49">
        <w:rPr>
          <w:sz w:val="26"/>
          <w:szCs w:val="26"/>
        </w:rPr>
        <w:t xml:space="preserve"> Interconnection, LLC</w:t>
      </w:r>
      <w:r w:rsidR="004919C1">
        <w:rPr>
          <w:sz w:val="26"/>
          <w:szCs w:val="26"/>
        </w:rPr>
        <w:t xml:space="preserve"> and on the Senior Manager of Resource Adequacy for the Midwest Independent </w:t>
      </w:r>
      <w:r w:rsidR="002B5913">
        <w:rPr>
          <w:sz w:val="26"/>
          <w:szCs w:val="26"/>
        </w:rPr>
        <w:t xml:space="preserve">Transmission </w:t>
      </w:r>
      <w:r w:rsidR="004919C1">
        <w:rPr>
          <w:sz w:val="26"/>
          <w:szCs w:val="26"/>
        </w:rPr>
        <w:t>System Operator, Inc.</w:t>
      </w:r>
    </w:p>
    <w:p w:rsidR="006B79AA" w:rsidRDefault="006B79AA" w:rsidP="00D47468">
      <w:pPr>
        <w:spacing w:line="360" w:lineRule="auto"/>
        <w:ind w:firstLine="1440"/>
        <w:rPr>
          <w:sz w:val="26"/>
          <w:szCs w:val="26"/>
        </w:rPr>
      </w:pPr>
    </w:p>
    <w:p w:rsidR="004E66A4" w:rsidRDefault="00B22FF4" w:rsidP="00D47468">
      <w:pPr>
        <w:spacing w:line="360" w:lineRule="auto"/>
        <w:ind w:firstLine="1440"/>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78105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571750" cy="1295400"/>
                    </a:xfrm>
                    <a:prstGeom prst="rect">
                      <a:avLst/>
                    </a:prstGeom>
                    <a:noFill/>
                    <a:ln w="9525">
                      <a:noFill/>
                      <a:miter lim="800000"/>
                      <a:headEnd/>
                      <a:tailEnd/>
                    </a:ln>
                  </pic:spPr>
                </pic:pic>
              </a:graphicData>
            </a:graphic>
          </wp:anchor>
        </w:drawing>
      </w:r>
    </w:p>
    <w:p w:rsidR="004C1CD2" w:rsidRPr="003C63B1" w:rsidRDefault="004C1CD2" w:rsidP="004C1CD2">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(SEAL)</w:t>
      </w:r>
    </w:p>
    <w:p w:rsidR="004C1CD2" w:rsidRPr="003C63B1" w:rsidRDefault="004C1CD2" w:rsidP="004C1CD2">
      <w:pPr>
        <w:tabs>
          <w:tab w:val="left" w:pos="-720"/>
        </w:tabs>
        <w:suppressAutoHyphens/>
        <w:rPr>
          <w:sz w:val="26"/>
        </w:rPr>
      </w:pPr>
    </w:p>
    <w:p w:rsidR="004C1CD2" w:rsidRPr="003C63B1" w:rsidRDefault="005605EF" w:rsidP="004C1CD2">
      <w:pPr>
        <w:tabs>
          <w:tab w:val="left" w:pos="-720"/>
        </w:tabs>
        <w:suppressAutoHyphens/>
        <w:rPr>
          <w:sz w:val="26"/>
        </w:rPr>
      </w:pPr>
      <w:r>
        <w:rPr>
          <w:sz w:val="26"/>
        </w:rPr>
        <w:t>ORDER ADOPTED:  October 22</w:t>
      </w:r>
      <w:r w:rsidR="004C1CD2">
        <w:rPr>
          <w:sz w:val="26"/>
        </w:rPr>
        <w:t>, 2009</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 xml:space="preserve">ORDER ENTERED: </w:t>
      </w:r>
      <w:r w:rsidR="00B22FF4">
        <w:rPr>
          <w:sz w:val="26"/>
        </w:rPr>
        <w:t xml:space="preserve">  October 28, 2009</w:t>
      </w:r>
    </w:p>
    <w:p w:rsidR="009A077C" w:rsidRPr="00DB1424" w:rsidRDefault="009A077C" w:rsidP="009A077C">
      <w:pPr>
        <w:spacing w:line="360" w:lineRule="auto"/>
        <w:rPr>
          <w:sz w:val="26"/>
          <w:szCs w:val="26"/>
        </w:rPr>
      </w:pPr>
    </w:p>
    <w:sectPr w:rsidR="009A077C" w:rsidRPr="00DB1424" w:rsidSect="00805EB4">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1E0" w:rsidRDefault="00F821E0" w:rsidP="008F250B">
      <w:r>
        <w:separator/>
      </w:r>
    </w:p>
  </w:endnote>
  <w:endnote w:type="continuationSeparator" w:id="1">
    <w:p w:rsidR="00F821E0" w:rsidRDefault="00F821E0" w:rsidP="008F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9266"/>
      <w:docPartObj>
        <w:docPartGallery w:val="Page Numbers (Bottom of Page)"/>
        <w:docPartUnique/>
      </w:docPartObj>
    </w:sdtPr>
    <w:sdtContent>
      <w:p w:rsidR="00B22FF4" w:rsidRDefault="00B22FF4">
        <w:pPr>
          <w:pStyle w:val="Footer"/>
          <w:jc w:val="center"/>
        </w:pPr>
        <w:fldSimple w:instr=" PAGE   \* MERGEFORMAT ">
          <w:r w:rsidR="00E25173">
            <w:rPr>
              <w:noProof/>
            </w:rPr>
            <w:t>133</w:t>
          </w:r>
        </w:fldSimple>
      </w:p>
    </w:sdtContent>
  </w:sdt>
  <w:p w:rsidR="00B22FF4" w:rsidRDefault="00B22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2657"/>
      <w:docPartObj>
        <w:docPartGallery w:val="Page Numbers (Bottom of Page)"/>
        <w:docPartUnique/>
      </w:docPartObj>
    </w:sdtPr>
    <w:sdtContent>
      <w:p w:rsidR="00B22FF4" w:rsidRDefault="00B22FF4">
        <w:pPr>
          <w:pStyle w:val="Footer"/>
          <w:jc w:val="center"/>
        </w:pPr>
        <w:fldSimple w:instr=" PAGE   \* MERGEFORMAT ">
          <w:r>
            <w:rPr>
              <w:noProof/>
            </w:rPr>
            <w:t>1</w:t>
          </w:r>
        </w:fldSimple>
      </w:p>
    </w:sdtContent>
  </w:sdt>
  <w:p w:rsidR="00B22FF4" w:rsidRDefault="00B22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1E0" w:rsidRDefault="00F821E0" w:rsidP="008F250B">
      <w:r>
        <w:separator/>
      </w:r>
    </w:p>
  </w:footnote>
  <w:footnote w:type="continuationSeparator" w:id="1">
    <w:p w:rsidR="00F821E0" w:rsidRDefault="00F821E0" w:rsidP="008F250B">
      <w:r>
        <w:continuationSeparator/>
      </w:r>
    </w:p>
  </w:footnote>
  <w:footnote w:id="2">
    <w:p w:rsidR="00B22FF4" w:rsidRPr="00435AD6" w:rsidRDefault="00B22FF4" w:rsidP="00435AD6">
      <w:pPr>
        <w:pStyle w:val="FootnoteText"/>
        <w:ind w:firstLine="720"/>
        <w:rPr>
          <w:sz w:val="26"/>
          <w:szCs w:val="26"/>
        </w:rPr>
      </w:pPr>
      <w:r w:rsidRPr="00435AD6">
        <w:rPr>
          <w:rStyle w:val="FootnoteReference"/>
          <w:sz w:val="26"/>
          <w:szCs w:val="26"/>
        </w:rPr>
        <w:footnoteRef/>
      </w:r>
      <w:r w:rsidRPr="00435AD6">
        <w:rPr>
          <w:sz w:val="26"/>
          <w:szCs w:val="26"/>
        </w:rPr>
        <w:t xml:space="preserve"> </w:t>
      </w:r>
      <w:r w:rsidRPr="00435AD6">
        <w:rPr>
          <w:sz w:val="26"/>
          <w:szCs w:val="26"/>
        </w:rPr>
        <w:tab/>
      </w:r>
      <w:r>
        <w:rPr>
          <w:sz w:val="26"/>
          <w:szCs w:val="26"/>
        </w:rPr>
        <w:t>As noted herein, the p</w:t>
      </w:r>
      <w:r w:rsidRPr="00435AD6">
        <w:rPr>
          <w:sz w:val="26"/>
          <w:szCs w:val="26"/>
        </w:rPr>
        <w:t>lans filed on July 1, 2009</w:t>
      </w:r>
      <w:r>
        <w:rPr>
          <w:sz w:val="26"/>
          <w:szCs w:val="26"/>
        </w:rPr>
        <w:t>,</w:t>
      </w:r>
      <w:r w:rsidRPr="00435AD6">
        <w:rPr>
          <w:sz w:val="26"/>
          <w:szCs w:val="26"/>
        </w:rPr>
        <w:t xml:space="preserve"> </w:t>
      </w:r>
      <w:r>
        <w:rPr>
          <w:sz w:val="26"/>
          <w:szCs w:val="26"/>
        </w:rPr>
        <w:t xml:space="preserve">were </w:t>
      </w:r>
      <w:r w:rsidRPr="00435AD6">
        <w:rPr>
          <w:sz w:val="26"/>
          <w:szCs w:val="26"/>
        </w:rPr>
        <w:t>modified on several occasions.  The term “Plans” will be used to refer to the Plans as amended</w:t>
      </w:r>
      <w:r>
        <w:rPr>
          <w:sz w:val="26"/>
          <w:szCs w:val="26"/>
        </w:rPr>
        <w:t xml:space="preserve"> to date</w:t>
      </w:r>
      <w:r w:rsidRPr="00435AD6">
        <w:rPr>
          <w:sz w:val="26"/>
          <w:szCs w:val="26"/>
        </w:rPr>
        <w:t xml:space="preserve">.  </w:t>
      </w:r>
      <w:r>
        <w:rPr>
          <w:sz w:val="26"/>
          <w:szCs w:val="26"/>
        </w:rPr>
        <w:t>The July 1, 2009 plans will be referred to as the Initial Plans.  All other plans will be referred to by the date they were filed.</w:t>
      </w:r>
    </w:p>
  </w:footnote>
  <w:footnote w:id="3">
    <w:p w:rsidR="00B22FF4" w:rsidRPr="009B5017" w:rsidRDefault="00B22FF4" w:rsidP="009B5017">
      <w:pPr>
        <w:pStyle w:val="FootnoteText"/>
        <w:ind w:firstLine="720"/>
        <w:rPr>
          <w:sz w:val="26"/>
          <w:szCs w:val="26"/>
        </w:rPr>
      </w:pPr>
      <w:r w:rsidRPr="004D5664">
        <w:rPr>
          <w:rStyle w:val="FootnoteReference"/>
          <w:sz w:val="26"/>
          <w:szCs w:val="26"/>
        </w:rPr>
        <w:footnoteRef/>
      </w:r>
      <w:r w:rsidRPr="004D5664">
        <w:rPr>
          <w:sz w:val="26"/>
          <w:szCs w:val="26"/>
        </w:rPr>
        <w:t xml:space="preserve"> </w:t>
      </w:r>
      <w:r w:rsidRPr="004D5664">
        <w:rPr>
          <w:sz w:val="26"/>
          <w:szCs w:val="26"/>
        </w:rPr>
        <w:tab/>
        <w:t xml:space="preserve">This manual can be found at:  </w:t>
      </w:r>
      <w:hyperlink r:id="rId1" w:history="1">
        <w:r w:rsidRPr="004D5664">
          <w:rPr>
            <w:rStyle w:val="Hyperlink"/>
            <w:color w:val="auto"/>
            <w:sz w:val="26"/>
            <w:szCs w:val="26"/>
          </w:rPr>
          <w:t>http://www.clarkstrategicpartners.net/files/calif_standard_practice_manual.pdf</w:t>
        </w:r>
      </w:hyperlink>
      <w:r w:rsidRPr="004D5664">
        <w:rPr>
          <w:sz w:val="26"/>
          <w:szCs w:val="26"/>
        </w:rPr>
        <w:t>.</w:t>
      </w:r>
    </w:p>
  </w:footnote>
  <w:footnote w:id="4">
    <w:p w:rsidR="00B22FF4" w:rsidRPr="00EC4F69" w:rsidRDefault="00B22FF4" w:rsidP="00EC4F69">
      <w:pPr>
        <w:pStyle w:val="FootnoteText"/>
        <w:ind w:firstLine="720"/>
        <w:rPr>
          <w:sz w:val="26"/>
          <w:szCs w:val="26"/>
        </w:rPr>
      </w:pPr>
      <w:r w:rsidRPr="00EC4F69">
        <w:rPr>
          <w:rStyle w:val="FootnoteReference"/>
          <w:sz w:val="26"/>
          <w:szCs w:val="26"/>
        </w:rPr>
        <w:footnoteRef/>
      </w:r>
      <w:r w:rsidRPr="00EC4F69">
        <w:rPr>
          <w:sz w:val="26"/>
          <w:szCs w:val="26"/>
        </w:rPr>
        <w:t xml:space="preserve"> </w:t>
      </w:r>
      <w:r w:rsidRPr="00EC4F69">
        <w:rPr>
          <w:sz w:val="26"/>
          <w:szCs w:val="26"/>
        </w:rPr>
        <w:tab/>
        <w:t xml:space="preserve">MEIUG, PICA and PPUG are </w:t>
      </w:r>
      <w:r w:rsidRPr="00EC4F69">
        <w:rPr>
          <w:i/>
          <w:sz w:val="26"/>
          <w:szCs w:val="26"/>
        </w:rPr>
        <w:t>ad hoc</w:t>
      </w:r>
      <w:r w:rsidRPr="00EC4F69">
        <w:rPr>
          <w:sz w:val="26"/>
          <w:szCs w:val="26"/>
        </w:rPr>
        <w:t xml:space="preserve"> associations of energy-intensive commercial and industrial customers re</w:t>
      </w:r>
      <w:r>
        <w:rPr>
          <w:sz w:val="26"/>
          <w:szCs w:val="26"/>
        </w:rPr>
        <w:t xml:space="preserve">ceiving electric service in </w:t>
      </w:r>
      <w:r w:rsidRPr="00EC4F69">
        <w:rPr>
          <w:sz w:val="26"/>
          <w:szCs w:val="26"/>
        </w:rPr>
        <w:t>FirstEnergy</w:t>
      </w:r>
      <w:r>
        <w:rPr>
          <w:sz w:val="26"/>
          <w:szCs w:val="26"/>
        </w:rPr>
        <w:t>’s service</w:t>
      </w:r>
      <w:r w:rsidRPr="00EC4F69">
        <w:rPr>
          <w:sz w:val="26"/>
          <w:szCs w:val="26"/>
        </w:rPr>
        <w:t xml:space="preserve"> territories.</w:t>
      </w:r>
      <w:r>
        <w:rPr>
          <w:sz w:val="26"/>
          <w:szCs w:val="26"/>
        </w:rPr>
        <w:t xml:space="preserve"> MEIUG, </w:t>
      </w:r>
      <w:r w:rsidRPr="00EC4F69">
        <w:rPr>
          <w:i/>
          <w:sz w:val="26"/>
          <w:szCs w:val="26"/>
        </w:rPr>
        <w:t>et al.,</w:t>
      </w:r>
      <w:r>
        <w:rPr>
          <w:sz w:val="26"/>
          <w:szCs w:val="26"/>
        </w:rPr>
        <w:t xml:space="preserve"> Joint Petition to Intervene at ¶ 3.</w:t>
      </w:r>
    </w:p>
  </w:footnote>
  <w:footnote w:id="5">
    <w:p w:rsidR="00B22FF4" w:rsidRPr="00AA16D0" w:rsidRDefault="00B22FF4" w:rsidP="008729A7">
      <w:pPr>
        <w:pStyle w:val="FootnoteText"/>
        <w:ind w:firstLine="720"/>
        <w:rPr>
          <w:sz w:val="26"/>
          <w:szCs w:val="26"/>
        </w:rPr>
      </w:pPr>
      <w:r w:rsidRPr="00AA16D0">
        <w:rPr>
          <w:rStyle w:val="FootnoteReference"/>
          <w:sz w:val="26"/>
          <w:szCs w:val="26"/>
        </w:rPr>
        <w:footnoteRef/>
      </w:r>
      <w:r w:rsidRPr="00AA16D0">
        <w:rPr>
          <w:sz w:val="26"/>
          <w:szCs w:val="26"/>
        </w:rPr>
        <w:t xml:space="preserve"> </w:t>
      </w:r>
      <w:r w:rsidRPr="00AA16D0">
        <w:rPr>
          <w:sz w:val="26"/>
          <w:szCs w:val="26"/>
        </w:rPr>
        <w:tab/>
        <w:t xml:space="preserve">FDSI develops “monitoring and diagnostic solutions for the HVAC industry that are generated from proprietary technologies, services and products that deliver front-line decision support for technicians, contractors, end-users </w:t>
      </w:r>
      <w:r>
        <w:rPr>
          <w:sz w:val="26"/>
          <w:szCs w:val="26"/>
        </w:rPr>
        <w:t>and other stakeholders.”  FDSI</w:t>
      </w:r>
      <w:r w:rsidRPr="00AA16D0">
        <w:rPr>
          <w:sz w:val="26"/>
          <w:szCs w:val="26"/>
        </w:rPr>
        <w:t xml:space="preserve"> Petition to Intervene at ¶ 4.</w:t>
      </w:r>
    </w:p>
  </w:footnote>
  <w:footnote w:id="6">
    <w:p w:rsidR="00B22FF4" w:rsidRPr="00D23CBC" w:rsidRDefault="00B22FF4" w:rsidP="00D23CBC">
      <w:pPr>
        <w:pStyle w:val="FootnoteText"/>
        <w:ind w:firstLine="720"/>
        <w:rPr>
          <w:sz w:val="26"/>
          <w:szCs w:val="26"/>
        </w:rPr>
      </w:pPr>
      <w:r w:rsidRPr="00D23CBC">
        <w:rPr>
          <w:rStyle w:val="FootnoteReference"/>
          <w:sz w:val="26"/>
          <w:szCs w:val="26"/>
        </w:rPr>
        <w:footnoteRef/>
      </w:r>
      <w:r w:rsidRPr="00D23CBC">
        <w:rPr>
          <w:sz w:val="26"/>
          <w:szCs w:val="26"/>
        </w:rPr>
        <w:t xml:space="preserve"> </w:t>
      </w:r>
      <w:r w:rsidRPr="00D23CBC">
        <w:rPr>
          <w:sz w:val="26"/>
          <w:szCs w:val="26"/>
        </w:rPr>
        <w:tab/>
        <w:t xml:space="preserve">Direct Energy is an electric generation supplier (EGS) licensed to provide retail electricity supply and related services to commercial, industrial and governmental customers in Pennsylvania.  </w:t>
      </w:r>
      <w:r>
        <w:rPr>
          <w:sz w:val="26"/>
          <w:szCs w:val="26"/>
        </w:rPr>
        <w:t>Direct Energy Petition to Intervene at ¶ 1.</w:t>
      </w:r>
    </w:p>
  </w:footnote>
  <w:footnote w:id="7">
    <w:p w:rsidR="00B22FF4" w:rsidRPr="00B37C9F" w:rsidRDefault="00B22FF4" w:rsidP="00B37C9F">
      <w:pPr>
        <w:pStyle w:val="FootnoteText"/>
        <w:ind w:firstLine="720"/>
        <w:rPr>
          <w:sz w:val="26"/>
          <w:szCs w:val="26"/>
        </w:rPr>
      </w:pPr>
      <w:r w:rsidRPr="00A80034">
        <w:rPr>
          <w:rStyle w:val="FootnoteReference"/>
          <w:sz w:val="26"/>
          <w:szCs w:val="26"/>
        </w:rPr>
        <w:footnoteRef/>
      </w:r>
      <w:r w:rsidRPr="00A80034">
        <w:rPr>
          <w:sz w:val="26"/>
          <w:szCs w:val="26"/>
        </w:rPr>
        <w:t xml:space="preserve"> </w:t>
      </w:r>
      <w:r w:rsidRPr="00A80034">
        <w:rPr>
          <w:sz w:val="26"/>
          <w:szCs w:val="26"/>
        </w:rPr>
        <w:tab/>
        <w:t>ACORN is “an advocacy and membership organization whose mission is to advocate on behalf of low and lower income persons on numerous consumer issues, including access to and affordabili</w:t>
      </w:r>
      <w:r>
        <w:rPr>
          <w:sz w:val="26"/>
          <w:szCs w:val="26"/>
        </w:rPr>
        <w:t>ty of utility service.”  ACORN</w:t>
      </w:r>
      <w:r w:rsidRPr="00A80034">
        <w:rPr>
          <w:sz w:val="26"/>
          <w:szCs w:val="26"/>
        </w:rPr>
        <w:t xml:space="preserve"> Petition to Intervene at ¶ 7. </w:t>
      </w:r>
    </w:p>
  </w:footnote>
  <w:footnote w:id="8">
    <w:p w:rsidR="00B22FF4" w:rsidRPr="00B37C9F" w:rsidRDefault="00B22FF4" w:rsidP="00B37C9F">
      <w:pPr>
        <w:pStyle w:val="FootnoteText"/>
        <w:ind w:firstLine="720"/>
        <w:rPr>
          <w:sz w:val="26"/>
          <w:szCs w:val="26"/>
        </w:rPr>
      </w:pPr>
      <w:r w:rsidRPr="00B37C9F">
        <w:rPr>
          <w:rStyle w:val="FootnoteReference"/>
          <w:sz w:val="26"/>
          <w:szCs w:val="26"/>
        </w:rPr>
        <w:footnoteRef/>
      </w:r>
      <w:r w:rsidRPr="00B37C9F">
        <w:rPr>
          <w:sz w:val="26"/>
          <w:szCs w:val="26"/>
        </w:rPr>
        <w:t xml:space="preserve"> </w:t>
      </w:r>
      <w:r w:rsidRPr="00B37C9F">
        <w:rPr>
          <w:sz w:val="26"/>
          <w:szCs w:val="26"/>
        </w:rPr>
        <w:tab/>
        <w:t>Rep. George is a customer of FirstEnergy.  In addition, Rep. George’s district office receives electric service from FirstEnergy.</w:t>
      </w:r>
      <w:r>
        <w:rPr>
          <w:sz w:val="26"/>
          <w:szCs w:val="26"/>
        </w:rPr>
        <w:t xml:space="preserve">  Rep. George Petition to Intervene at ¶ 7.</w:t>
      </w:r>
    </w:p>
  </w:footnote>
  <w:footnote w:id="9">
    <w:p w:rsidR="00B22FF4" w:rsidRPr="00C34ABA" w:rsidRDefault="00B22FF4" w:rsidP="00C34ABA">
      <w:pPr>
        <w:pStyle w:val="FootnoteText"/>
        <w:ind w:firstLine="720"/>
        <w:rPr>
          <w:sz w:val="26"/>
          <w:szCs w:val="26"/>
        </w:rPr>
      </w:pPr>
      <w:r w:rsidRPr="00C34ABA">
        <w:rPr>
          <w:rStyle w:val="FootnoteReference"/>
          <w:sz w:val="26"/>
          <w:szCs w:val="26"/>
        </w:rPr>
        <w:footnoteRef/>
      </w:r>
      <w:r w:rsidRPr="00C34ABA">
        <w:rPr>
          <w:sz w:val="26"/>
          <w:szCs w:val="26"/>
        </w:rPr>
        <w:t xml:space="preserve"> </w:t>
      </w:r>
      <w:r w:rsidRPr="00C34ABA">
        <w:rPr>
          <w:sz w:val="26"/>
          <w:szCs w:val="26"/>
        </w:rPr>
        <w:tab/>
        <w:t>The UGI Distribution Companies provide natural gas distribution services in the FirstEnergy territori</w:t>
      </w:r>
      <w:r>
        <w:rPr>
          <w:sz w:val="26"/>
          <w:szCs w:val="26"/>
        </w:rPr>
        <w:t>es.  UGI Distribution Companies</w:t>
      </w:r>
      <w:r w:rsidRPr="00C34ABA">
        <w:rPr>
          <w:sz w:val="26"/>
          <w:szCs w:val="26"/>
        </w:rPr>
        <w:t xml:space="preserve"> Petition to Intervene at ¶¶ 3-5.</w:t>
      </w:r>
    </w:p>
  </w:footnote>
  <w:footnote w:id="10">
    <w:p w:rsidR="00B22FF4" w:rsidRPr="004A2F9F" w:rsidRDefault="00B22FF4" w:rsidP="004A2F9F">
      <w:pPr>
        <w:pStyle w:val="FootnoteText"/>
        <w:ind w:firstLine="720"/>
        <w:rPr>
          <w:sz w:val="26"/>
          <w:szCs w:val="26"/>
        </w:rPr>
      </w:pPr>
      <w:r w:rsidRPr="004A2F9F">
        <w:rPr>
          <w:rStyle w:val="FootnoteReference"/>
          <w:sz w:val="26"/>
          <w:szCs w:val="26"/>
        </w:rPr>
        <w:footnoteRef/>
      </w:r>
      <w:r w:rsidRPr="004A2F9F">
        <w:rPr>
          <w:sz w:val="26"/>
          <w:szCs w:val="26"/>
        </w:rPr>
        <w:t xml:space="preserve"> </w:t>
      </w:r>
      <w:r w:rsidRPr="004A2F9F">
        <w:rPr>
          <w:sz w:val="26"/>
          <w:szCs w:val="26"/>
        </w:rPr>
        <w:tab/>
        <w:t xml:space="preserve">Dominion Peoples is a regulated utility providing natural gas service in </w:t>
      </w:r>
      <w:r>
        <w:rPr>
          <w:sz w:val="26"/>
          <w:szCs w:val="26"/>
        </w:rPr>
        <w:t>FirstEnergy</w:t>
      </w:r>
      <w:r w:rsidRPr="004A2F9F">
        <w:rPr>
          <w:sz w:val="26"/>
          <w:szCs w:val="26"/>
        </w:rPr>
        <w:t xml:space="preserve">’s service territories. </w:t>
      </w:r>
      <w:r>
        <w:rPr>
          <w:sz w:val="26"/>
          <w:szCs w:val="26"/>
        </w:rPr>
        <w:t xml:space="preserve"> Dominion Peoples Petition to Intervene at ¶ 3.</w:t>
      </w:r>
    </w:p>
  </w:footnote>
  <w:footnote w:id="11">
    <w:p w:rsidR="00B22FF4" w:rsidRPr="000C3D32" w:rsidRDefault="00B22FF4" w:rsidP="000C3D32">
      <w:pPr>
        <w:pStyle w:val="FootnoteText"/>
        <w:ind w:firstLine="720"/>
        <w:rPr>
          <w:sz w:val="26"/>
          <w:szCs w:val="26"/>
        </w:rPr>
      </w:pPr>
      <w:r w:rsidRPr="000C3D32">
        <w:rPr>
          <w:rStyle w:val="FootnoteReference"/>
          <w:sz w:val="26"/>
          <w:szCs w:val="26"/>
        </w:rPr>
        <w:footnoteRef/>
      </w:r>
      <w:r w:rsidRPr="000C3D32">
        <w:rPr>
          <w:sz w:val="26"/>
          <w:szCs w:val="26"/>
        </w:rPr>
        <w:t xml:space="preserve"> </w:t>
      </w:r>
      <w:r w:rsidRPr="000C3D32">
        <w:rPr>
          <w:sz w:val="26"/>
          <w:szCs w:val="26"/>
        </w:rPr>
        <w:tab/>
        <w:t xml:space="preserve">NFG is a </w:t>
      </w:r>
      <w:r>
        <w:rPr>
          <w:sz w:val="26"/>
          <w:szCs w:val="26"/>
        </w:rPr>
        <w:t>natural gas distribution company</w:t>
      </w:r>
      <w:r w:rsidRPr="000C3D32">
        <w:rPr>
          <w:sz w:val="26"/>
          <w:szCs w:val="26"/>
        </w:rPr>
        <w:t xml:space="preserve"> whose service territory overlaps the service territories of Penelec and Penn Power.  In addition, N</w:t>
      </w:r>
      <w:r>
        <w:rPr>
          <w:sz w:val="26"/>
          <w:szCs w:val="26"/>
        </w:rPr>
        <w:t>F</w:t>
      </w:r>
      <w:r w:rsidRPr="000C3D32">
        <w:rPr>
          <w:sz w:val="26"/>
          <w:szCs w:val="26"/>
        </w:rPr>
        <w:t>G is a customer of Penelec and Penn Power.  Order Granting Petitions to Intervene at 3.</w:t>
      </w:r>
    </w:p>
  </w:footnote>
  <w:footnote w:id="12">
    <w:p w:rsidR="00B22FF4" w:rsidRPr="0011138C" w:rsidRDefault="00B22FF4" w:rsidP="0011138C">
      <w:pPr>
        <w:pStyle w:val="FootnoteText"/>
        <w:ind w:firstLine="720"/>
        <w:rPr>
          <w:sz w:val="26"/>
          <w:szCs w:val="26"/>
        </w:rPr>
      </w:pPr>
      <w:r w:rsidRPr="0011138C">
        <w:rPr>
          <w:rStyle w:val="FootnoteReference"/>
          <w:sz w:val="26"/>
          <w:szCs w:val="26"/>
        </w:rPr>
        <w:footnoteRef/>
      </w:r>
      <w:r w:rsidRPr="0011138C">
        <w:rPr>
          <w:sz w:val="26"/>
          <w:szCs w:val="26"/>
        </w:rPr>
        <w:t xml:space="preserve"> </w:t>
      </w:r>
      <w:r w:rsidRPr="0011138C">
        <w:rPr>
          <w:sz w:val="26"/>
          <w:szCs w:val="26"/>
        </w:rPr>
        <w:tab/>
        <w:t>Constellation is a licensed EGS in FirstEnergy’s service territories.  Constellation Petition to Intervene at ¶ 5.</w:t>
      </w:r>
    </w:p>
  </w:footnote>
  <w:footnote w:id="13">
    <w:p w:rsidR="00B22FF4" w:rsidRPr="00511AE2" w:rsidRDefault="00B22FF4" w:rsidP="00511AE2">
      <w:pPr>
        <w:pStyle w:val="FootnoteText"/>
        <w:ind w:firstLine="720"/>
        <w:rPr>
          <w:sz w:val="26"/>
          <w:szCs w:val="26"/>
        </w:rPr>
      </w:pPr>
      <w:r w:rsidRPr="00511AE2">
        <w:rPr>
          <w:rStyle w:val="FootnoteReference"/>
          <w:sz w:val="26"/>
          <w:szCs w:val="26"/>
        </w:rPr>
        <w:footnoteRef/>
      </w:r>
      <w:r w:rsidRPr="00511AE2">
        <w:rPr>
          <w:sz w:val="26"/>
          <w:szCs w:val="26"/>
        </w:rPr>
        <w:t xml:space="preserve"> </w:t>
      </w:r>
      <w:r w:rsidRPr="00511AE2">
        <w:rPr>
          <w:sz w:val="26"/>
          <w:szCs w:val="26"/>
        </w:rPr>
        <w:tab/>
        <w:t>EnerNOC is an energy services provider operating in Pennsylvania.</w:t>
      </w:r>
      <w:r>
        <w:rPr>
          <w:sz w:val="26"/>
          <w:szCs w:val="26"/>
        </w:rPr>
        <w:t xml:space="preserve">  EnerNOC Petition to Intervene at ¶ 1.</w:t>
      </w:r>
    </w:p>
  </w:footnote>
  <w:footnote w:id="14">
    <w:p w:rsidR="00B22FF4" w:rsidRPr="00A82960" w:rsidRDefault="00B22FF4" w:rsidP="00A82960">
      <w:pPr>
        <w:pStyle w:val="FootnoteText"/>
        <w:ind w:firstLine="720"/>
        <w:rPr>
          <w:sz w:val="26"/>
          <w:szCs w:val="26"/>
        </w:rPr>
      </w:pPr>
      <w:r w:rsidRPr="00A82960">
        <w:rPr>
          <w:rStyle w:val="FootnoteReference"/>
          <w:sz w:val="26"/>
          <w:szCs w:val="26"/>
        </w:rPr>
        <w:footnoteRef/>
      </w:r>
      <w:r w:rsidRPr="00A82960">
        <w:rPr>
          <w:sz w:val="26"/>
          <w:szCs w:val="26"/>
        </w:rPr>
        <w:t xml:space="preserve"> </w:t>
      </w:r>
      <w:r w:rsidRPr="00A82960">
        <w:rPr>
          <w:sz w:val="26"/>
          <w:szCs w:val="26"/>
        </w:rPr>
        <w:tab/>
        <w:t>ClearChoice is a registered CSP providing curtailment services in the Met Ed and Penelec ser</w:t>
      </w:r>
      <w:r>
        <w:rPr>
          <w:sz w:val="26"/>
          <w:szCs w:val="26"/>
        </w:rPr>
        <w:t>vice territories.  ClearChoice</w:t>
      </w:r>
      <w:r w:rsidRPr="00A82960">
        <w:rPr>
          <w:sz w:val="26"/>
          <w:szCs w:val="26"/>
        </w:rPr>
        <w:t xml:space="preserve"> Petition to Intervene at ¶ 3.</w:t>
      </w:r>
    </w:p>
  </w:footnote>
  <w:footnote w:id="15">
    <w:p w:rsidR="00B22FF4" w:rsidRPr="004E387E" w:rsidRDefault="00B22FF4" w:rsidP="004E387E">
      <w:pPr>
        <w:pStyle w:val="FootnoteText"/>
        <w:ind w:firstLine="720"/>
        <w:rPr>
          <w:sz w:val="26"/>
          <w:szCs w:val="26"/>
        </w:rPr>
      </w:pPr>
      <w:r w:rsidRPr="004E387E">
        <w:rPr>
          <w:rStyle w:val="FootnoteReference"/>
          <w:sz w:val="26"/>
          <w:szCs w:val="26"/>
        </w:rPr>
        <w:footnoteRef/>
      </w:r>
      <w:r w:rsidRPr="004E387E">
        <w:rPr>
          <w:sz w:val="26"/>
          <w:szCs w:val="26"/>
        </w:rPr>
        <w:t xml:space="preserve"> </w:t>
      </w:r>
      <w:r w:rsidRPr="004E387E">
        <w:rPr>
          <w:sz w:val="26"/>
          <w:szCs w:val="26"/>
        </w:rPr>
        <w:tab/>
        <w:t xml:space="preserve">Envinity states that it is “a sustainable design, construction </w:t>
      </w:r>
      <w:r>
        <w:rPr>
          <w:sz w:val="26"/>
          <w:szCs w:val="26"/>
        </w:rPr>
        <w:t>and energy company.”  Envinity</w:t>
      </w:r>
      <w:r w:rsidRPr="004E387E">
        <w:rPr>
          <w:sz w:val="26"/>
          <w:szCs w:val="26"/>
        </w:rPr>
        <w:t xml:space="preserve"> Comments at 1.</w:t>
      </w:r>
    </w:p>
  </w:footnote>
  <w:footnote w:id="16">
    <w:p w:rsidR="00B22FF4" w:rsidRPr="00721561" w:rsidRDefault="00B22FF4" w:rsidP="00721561">
      <w:pPr>
        <w:pStyle w:val="FootnoteText"/>
        <w:ind w:firstLine="720"/>
        <w:rPr>
          <w:sz w:val="26"/>
          <w:szCs w:val="26"/>
        </w:rPr>
      </w:pPr>
      <w:r w:rsidRPr="00721561">
        <w:rPr>
          <w:rStyle w:val="FootnoteReference"/>
          <w:sz w:val="26"/>
          <w:szCs w:val="26"/>
        </w:rPr>
        <w:footnoteRef/>
      </w:r>
      <w:r w:rsidRPr="00721561">
        <w:rPr>
          <w:sz w:val="26"/>
          <w:szCs w:val="26"/>
        </w:rPr>
        <w:t xml:space="preserve"> </w:t>
      </w:r>
      <w:r w:rsidRPr="00721561">
        <w:rPr>
          <w:sz w:val="26"/>
          <w:szCs w:val="26"/>
        </w:rPr>
        <w:tab/>
        <w:t>Affordable Energy states that it is an “energy efficiency company” located in Hanover, Y</w:t>
      </w:r>
      <w:r>
        <w:rPr>
          <w:sz w:val="26"/>
          <w:szCs w:val="26"/>
        </w:rPr>
        <w:t>ork County.  Affordable Energy</w:t>
      </w:r>
      <w:r w:rsidRPr="00721561">
        <w:rPr>
          <w:sz w:val="26"/>
          <w:szCs w:val="26"/>
        </w:rPr>
        <w:t xml:space="preserve"> Comments at 1.</w:t>
      </w:r>
    </w:p>
  </w:footnote>
  <w:footnote w:id="17">
    <w:p w:rsidR="00B22FF4" w:rsidRPr="009A4E61" w:rsidRDefault="00B22FF4" w:rsidP="009A4E61">
      <w:pPr>
        <w:autoSpaceDE w:val="0"/>
        <w:autoSpaceDN w:val="0"/>
        <w:adjustRightInd w:val="0"/>
        <w:ind w:firstLine="720"/>
        <w:rPr>
          <w:sz w:val="26"/>
          <w:szCs w:val="26"/>
        </w:rPr>
      </w:pPr>
      <w:r w:rsidRPr="009A4E61">
        <w:rPr>
          <w:rStyle w:val="FootnoteReference"/>
          <w:sz w:val="26"/>
          <w:szCs w:val="26"/>
        </w:rPr>
        <w:footnoteRef/>
      </w:r>
      <w:r w:rsidRPr="009A4E61">
        <w:rPr>
          <w:sz w:val="26"/>
          <w:szCs w:val="26"/>
        </w:rPr>
        <w:t xml:space="preserve"> </w:t>
      </w:r>
      <w:r w:rsidRPr="009A4E61">
        <w:rPr>
          <w:sz w:val="26"/>
          <w:szCs w:val="26"/>
        </w:rPr>
        <w:tab/>
      </w:r>
      <w:r w:rsidRPr="009A4E61">
        <w:rPr>
          <w:rFonts w:eastAsiaTheme="minorHAnsi"/>
          <w:sz w:val="26"/>
          <w:szCs w:val="26"/>
        </w:rPr>
        <w:t xml:space="preserve">KEEA is a statewide network of </w:t>
      </w:r>
      <w:r>
        <w:rPr>
          <w:rFonts w:eastAsiaTheme="minorHAnsi"/>
          <w:sz w:val="26"/>
          <w:szCs w:val="26"/>
        </w:rPr>
        <w:t>sixty-five</w:t>
      </w:r>
      <w:r w:rsidRPr="009A4E61">
        <w:rPr>
          <w:rFonts w:eastAsiaTheme="minorHAnsi"/>
          <w:sz w:val="26"/>
          <w:szCs w:val="26"/>
        </w:rPr>
        <w:t xml:space="preserve"> organizations</w:t>
      </w:r>
      <w:r>
        <w:rPr>
          <w:rFonts w:eastAsiaTheme="minorHAnsi"/>
          <w:sz w:val="26"/>
          <w:szCs w:val="26"/>
        </w:rPr>
        <w:t xml:space="preserve"> </w:t>
      </w:r>
      <w:r w:rsidRPr="009A4E61">
        <w:rPr>
          <w:rFonts w:eastAsiaTheme="minorHAnsi"/>
          <w:sz w:val="26"/>
          <w:szCs w:val="26"/>
        </w:rPr>
        <w:t>and energy service providers focused on assisting residential and commercial customers</w:t>
      </w:r>
      <w:r>
        <w:rPr>
          <w:rFonts w:eastAsiaTheme="minorHAnsi"/>
          <w:sz w:val="26"/>
          <w:szCs w:val="26"/>
        </w:rPr>
        <w:t xml:space="preserve"> </w:t>
      </w:r>
      <w:r w:rsidRPr="009A4E61">
        <w:rPr>
          <w:rFonts w:eastAsiaTheme="minorHAnsi"/>
          <w:sz w:val="26"/>
          <w:szCs w:val="26"/>
        </w:rPr>
        <w:t>reduce energy usage and energy bills.</w:t>
      </w:r>
      <w:r>
        <w:rPr>
          <w:rFonts w:eastAsiaTheme="minorHAnsi"/>
          <w:sz w:val="26"/>
          <w:szCs w:val="26"/>
        </w:rPr>
        <w:t xml:space="preserve">  KEEA Comments at 1.</w:t>
      </w:r>
    </w:p>
  </w:footnote>
  <w:footnote w:id="18">
    <w:p w:rsidR="00B22FF4" w:rsidRPr="006A54BB" w:rsidRDefault="00B22FF4" w:rsidP="006A54BB">
      <w:pPr>
        <w:pStyle w:val="FootnoteText"/>
        <w:ind w:firstLine="720"/>
        <w:rPr>
          <w:sz w:val="26"/>
          <w:szCs w:val="26"/>
        </w:rPr>
      </w:pPr>
      <w:r w:rsidRPr="006A54BB">
        <w:rPr>
          <w:rStyle w:val="FootnoteReference"/>
          <w:sz w:val="26"/>
          <w:szCs w:val="26"/>
        </w:rPr>
        <w:footnoteRef/>
      </w:r>
      <w:r w:rsidRPr="006A54BB">
        <w:rPr>
          <w:sz w:val="26"/>
          <w:szCs w:val="26"/>
        </w:rPr>
        <w:t xml:space="preserve"> </w:t>
      </w:r>
      <w:r w:rsidRPr="006A54BB">
        <w:rPr>
          <w:sz w:val="26"/>
          <w:szCs w:val="26"/>
        </w:rPr>
        <w:tab/>
        <w:t>PA Home Energy is a residential energy efficiency program for new and existing homes, funded by the West Penn Power Sustainable Energy Fund, and managed by Performance Systems Development.  PA Home Energy Comments at 1.</w:t>
      </w:r>
    </w:p>
  </w:footnote>
  <w:footnote w:id="19">
    <w:p w:rsidR="00B22FF4" w:rsidRPr="0064797E" w:rsidRDefault="00B22FF4" w:rsidP="0064797E">
      <w:pPr>
        <w:pStyle w:val="FootnoteText"/>
        <w:ind w:firstLine="720"/>
        <w:rPr>
          <w:sz w:val="26"/>
          <w:szCs w:val="26"/>
        </w:rPr>
      </w:pPr>
      <w:r>
        <w:rPr>
          <w:rStyle w:val="FootnoteReference"/>
        </w:rPr>
        <w:footnoteRef/>
      </w:r>
      <w:r>
        <w:t xml:space="preserve"> </w:t>
      </w:r>
      <w:r>
        <w:tab/>
      </w:r>
      <w:r>
        <w:rPr>
          <w:sz w:val="26"/>
          <w:szCs w:val="26"/>
        </w:rPr>
        <w:t>NAESCO’s members are involved in the design, manufacture, financing and installation of energy efficiency and renewable energy equipment, as well as the provision of energy efficiency and renewable energy services in the private and public sectors.  NAESCO Comments at 1.</w:t>
      </w:r>
    </w:p>
  </w:footnote>
  <w:footnote w:id="20">
    <w:p w:rsidR="00B22FF4" w:rsidRPr="00C429AB" w:rsidRDefault="00B22FF4" w:rsidP="00C429AB">
      <w:pPr>
        <w:pStyle w:val="FootnoteText"/>
        <w:ind w:firstLine="720"/>
        <w:rPr>
          <w:sz w:val="26"/>
          <w:szCs w:val="26"/>
        </w:rPr>
      </w:pPr>
      <w:r w:rsidRPr="00C429AB">
        <w:rPr>
          <w:rStyle w:val="FootnoteReference"/>
          <w:sz w:val="26"/>
          <w:szCs w:val="26"/>
        </w:rPr>
        <w:footnoteRef/>
      </w:r>
      <w:r w:rsidRPr="00C429AB">
        <w:rPr>
          <w:sz w:val="26"/>
          <w:szCs w:val="26"/>
        </w:rPr>
        <w:t xml:space="preserve"> </w:t>
      </w:r>
      <w:r w:rsidRPr="00C429AB">
        <w:rPr>
          <w:sz w:val="26"/>
          <w:szCs w:val="26"/>
        </w:rPr>
        <w:tab/>
        <w:t xml:space="preserve">In the </w:t>
      </w:r>
      <w:r w:rsidRPr="00C429AB">
        <w:rPr>
          <w:i/>
          <w:sz w:val="26"/>
          <w:szCs w:val="26"/>
        </w:rPr>
        <w:t>Implementation Order</w:t>
      </w:r>
      <w:r w:rsidRPr="00C429AB">
        <w:rPr>
          <w:sz w:val="26"/>
          <w:szCs w:val="26"/>
        </w:rPr>
        <w:t xml:space="preserve">, at 12, we stated that an EDC filing an EE&amp;C Plan would have ten days from the submission of briefs to file a revised plan, reply comments, or both.  </w:t>
      </w:r>
      <w:r>
        <w:rPr>
          <w:sz w:val="26"/>
          <w:szCs w:val="26"/>
        </w:rPr>
        <w:t xml:space="preserve">The </w:t>
      </w:r>
      <w:r w:rsidRPr="00FB668C">
        <w:rPr>
          <w:i/>
          <w:sz w:val="26"/>
          <w:szCs w:val="26"/>
        </w:rPr>
        <w:t>Reconsideration Order</w:t>
      </w:r>
      <w:r>
        <w:rPr>
          <w:sz w:val="26"/>
          <w:szCs w:val="26"/>
        </w:rPr>
        <w:t>, at 11, clarified that all parties could file reply briefs, but it did not deprive the EDCs of the opportunity to file a revised plan within ten days after the parties file main briefs.</w:t>
      </w:r>
      <w:r w:rsidRPr="00C429AB">
        <w:rPr>
          <w:sz w:val="26"/>
          <w:szCs w:val="26"/>
        </w:rPr>
        <w:t xml:space="preserve"> </w:t>
      </w:r>
    </w:p>
  </w:footnote>
  <w:footnote w:id="21">
    <w:p w:rsidR="00B22FF4" w:rsidRPr="00665246" w:rsidRDefault="00B22FF4" w:rsidP="00665246">
      <w:pPr>
        <w:pStyle w:val="FootnoteText"/>
        <w:ind w:firstLine="720"/>
        <w:rPr>
          <w:sz w:val="26"/>
          <w:szCs w:val="26"/>
        </w:rPr>
      </w:pPr>
      <w:r w:rsidRPr="00665246">
        <w:rPr>
          <w:rStyle w:val="FootnoteReference"/>
          <w:sz w:val="26"/>
          <w:szCs w:val="26"/>
        </w:rPr>
        <w:footnoteRef/>
      </w:r>
      <w:r w:rsidRPr="00665246">
        <w:rPr>
          <w:sz w:val="26"/>
          <w:szCs w:val="26"/>
        </w:rPr>
        <w:t xml:space="preserve"> </w:t>
      </w:r>
      <w:r w:rsidRPr="00665246">
        <w:rPr>
          <w:sz w:val="26"/>
          <w:szCs w:val="26"/>
        </w:rPr>
        <w:tab/>
        <w:t>WARM is FirstEnergy’s L</w:t>
      </w:r>
      <w:r>
        <w:rPr>
          <w:sz w:val="26"/>
          <w:szCs w:val="26"/>
        </w:rPr>
        <w:t xml:space="preserve">ow </w:t>
      </w:r>
      <w:r w:rsidRPr="00665246">
        <w:rPr>
          <w:sz w:val="26"/>
          <w:szCs w:val="26"/>
        </w:rPr>
        <w:t>I</w:t>
      </w:r>
      <w:r>
        <w:rPr>
          <w:sz w:val="26"/>
          <w:szCs w:val="26"/>
        </w:rPr>
        <w:t xml:space="preserve">ncome </w:t>
      </w:r>
      <w:r w:rsidRPr="00665246">
        <w:rPr>
          <w:sz w:val="26"/>
          <w:szCs w:val="26"/>
        </w:rPr>
        <w:t>U</w:t>
      </w:r>
      <w:r>
        <w:rPr>
          <w:sz w:val="26"/>
          <w:szCs w:val="26"/>
        </w:rPr>
        <w:t xml:space="preserve">sage </w:t>
      </w:r>
      <w:r w:rsidRPr="00665246">
        <w:rPr>
          <w:sz w:val="26"/>
          <w:szCs w:val="26"/>
        </w:rPr>
        <w:t>R</w:t>
      </w:r>
      <w:r>
        <w:rPr>
          <w:sz w:val="26"/>
          <w:szCs w:val="26"/>
        </w:rPr>
        <w:t xml:space="preserve">eduction </w:t>
      </w:r>
      <w:r w:rsidRPr="00665246">
        <w:rPr>
          <w:sz w:val="26"/>
          <w:szCs w:val="26"/>
        </w:rPr>
        <w:t>Program</w:t>
      </w:r>
      <w:r>
        <w:rPr>
          <w:sz w:val="26"/>
          <w:szCs w:val="26"/>
        </w:rPr>
        <w:t xml:space="preserve"> (LIURP)</w:t>
      </w:r>
      <w:r w:rsidRPr="00665246">
        <w:rPr>
          <w:sz w:val="26"/>
          <w:szCs w:val="26"/>
        </w:rPr>
        <w:t xml:space="preserve">.  </w:t>
      </w:r>
      <w:r>
        <w:rPr>
          <w:sz w:val="26"/>
          <w:szCs w:val="26"/>
        </w:rPr>
        <w:t>Met Ed’s September 21, 2009 Plan at 14.</w:t>
      </w:r>
    </w:p>
  </w:footnote>
  <w:footnote w:id="22">
    <w:p w:rsidR="00B22FF4" w:rsidRPr="000B6DA3" w:rsidRDefault="00B22FF4" w:rsidP="00892629">
      <w:pPr>
        <w:pStyle w:val="FootnoteText"/>
        <w:rPr>
          <w:sz w:val="26"/>
          <w:szCs w:val="26"/>
        </w:rPr>
      </w:pPr>
      <w:r w:rsidRPr="000B6DA3">
        <w:rPr>
          <w:rStyle w:val="FootnoteReference"/>
          <w:sz w:val="26"/>
          <w:szCs w:val="26"/>
        </w:rPr>
        <w:footnoteRef/>
      </w:r>
      <w:r w:rsidRPr="000B6DA3">
        <w:rPr>
          <w:sz w:val="26"/>
          <w:szCs w:val="26"/>
        </w:rPr>
        <w:t xml:space="preserve"> </w:t>
      </w:r>
      <w:r w:rsidRPr="000B6DA3">
        <w:rPr>
          <w:sz w:val="26"/>
          <w:szCs w:val="26"/>
        </w:rPr>
        <w:tab/>
        <w:t>The proposed EEC-C rate was modified in the Companies’ Rebuttal testimony provided at the evidentiary hearings.  As a result, the bill impact will be slightly different than those shown here.  As Companies’ witness Parrish testified, the rates would “change slightly based on my exhibit RIP-5.”  Tr. at 163.  The overall magnitude of the increases would not change in any significant manner.</w:t>
      </w:r>
    </w:p>
  </w:footnote>
  <w:footnote w:id="23">
    <w:p w:rsidR="00B22FF4" w:rsidRDefault="00B22FF4" w:rsidP="00D9448A">
      <w:pPr>
        <w:ind w:firstLine="720"/>
      </w:pPr>
      <w:r w:rsidRPr="00B33DAE">
        <w:rPr>
          <w:rStyle w:val="FootnoteReference"/>
          <w:sz w:val="26"/>
          <w:szCs w:val="26"/>
        </w:rPr>
        <w:footnoteRef/>
      </w:r>
      <w:r w:rsidRPr="00B33DAE">
        <w:rPr>
          <w:sz w:val="26"/>
          <w:szCs w:val="26"/>
        </w:rPr>
        <w:t xml:space="preserve"> </w:t>
      </w:r>
      <w:r w:rsidRPr="00B33DAE">
        <w:rPr>
          <w:sz w:val="26"/>
          <w:szCs w:val="26"/>
        </w:rPr>
        <w:tab/>
      </w:r>
      <w:r>
        <w:rPr>
          <w:sz w:val="26"/>
          <w:szCs w:val="26"/>
        </w:rPr>
        <w:t xml:space="preserve">We note that </w:t>
      </w:r>
      <w:r w:rsidRPr="00B33DAE">
        <w:rPr>
          <w:sz w:val="26"/>
          <w:szCs w:val="26"/>
        </w:rPr>
        <w:t xml:space="preserve">the OSBA argues that the government/non-profit sector should be treated as a separate class for rate recovery purposes.  OSBA MB at 8.  This issue </w:t>
      </w:r>
      <w:r>
        <w:rPr>
          <w:sz w:val="26"/>
          <w:szCs w:val="26"/>
        </w:rPr>
        <w:t>will be addressed in Section V.B.4.a.</w:t>
      </w:r>
      <w:r w:rsidRPr="00B33DAE">
        <w:rPr>
          <w:sz w:val="26"/>
          <w:szCs w:val="26"/>
        </w:rPr>
        <w:t xml:space="preserve">(1) below.  </w:t>
      </w:r>
    </w:p>
  </w:footnote>
  <w:footnote w:id="24">
    <w:p w:rsidR="00B22FF4" w:rsidRPr="00C3088F" w:rsidRDefault="00B22FF4" w:rsidP="00C3088F">
      <w:pPr>
        <w:pStyle w:val="FootnoteText"/>
        <w:ind w:firstLine="720"/>
        <w:rPr>
          <w:sz w:val="26"/>
          <w:szCs w:val="26"/>
        </w:rPr>
      </w:pPr>
      <w:r w:rsidRPr="00C3088F">
        <w:rPr>
          <w:rStyle w:val="FootnoteReference"/>
          <w:sz w:val="26"/>
          <w:szCs w:val="26"/>
        </w:rPr>
        <w:footnoteRef/>
      </w:r>
      <w:r w:rsidRPr="00C3088F">
        <w:rPr>
          <w:sz w:val="26"/>
          <w:szCs w:val="26"/>
        </w:rPr>
        <w:t xml:space="preserve"> </w:t>
      </w:r>
      <w:r>
        <w:rPr>
          <w:sz w:val="26"/>
          <w:szCs w:val="26"/>
        </w:rPr>
        <w:tab/>
      </w:r>
      <w:r w:rsidRPr="00C3088F">
        <w:rPr>
          <w:sz w:val="26"/>
          <w:szCs w:val="26"/>
        </w:rPr>
        <w:t xml:space="preserve">The term “energy efficiency measure” is not separately defined, but the term “energy efficiency and conservation measures” is defined at 66 Pa. C.S. </w:t>
      </w:r>
      <w:r>
        <w:rPr>
          <w:sz w:val="26"/>
          <w:szCs w:val="26"/>
        </w:rPr>
        <w:br/>
      </w:r>
      <w:r w:rsidRPr="00C3088F">
        <w:rPr>
          <w:sz w:val="26"/>
          <w:szCs w:val="26"/>
        </w:rPr>
        <w:t xml:space="preserve">§ 2806.1(m). </w:t>
      </w:r>
    </w:p>
  </w:footnote>
  <w:footnote w:id="25">
    <w:p w:rsidR="00B22FF4" w:rsidRPr="00C3088F" w:rsidRDefault="00B22FF4" w:rsidP="00C3088F">
      <w:pPr>
        <w:pStyle w:val="FootnoteText"/>
        <w:ind w:firstLine="720"/>
        <w:rPr>
          <w:sz w:val="26"/>
          <w:szCs w:val="26"/>
        </w:rPr>
      </w:pPr>
      <w:r w:rsidRPr="00C3088F">
        <w:rPr>
          <w:rStyle w:val="FootnoteReference"/>
          <w:sz w:val="26"/>
          <w:szCs w:val="26"/>
        </w:rPr>
        <w:footnoteRef/>
      </w:r>
      <w:r w:rsidRPr="00C3088F">
        <w:rPr>
          <w:sz w:val="26"/>
          <w:szCs w:val="26"/>
        </w:rPr>
        <w:t xml:space="preserve"> </w:t>
      </w:r>
      <w:r>
        <w:rPr>
          <w:sz w:val="26"/>
          <w:szCs w:val="26"/>
        </w:rPr>
        <w:tab/>
      </w:r>
      <w:r w:rsidRPr="00C3088F">
        <w:rPr>
          <w:sz w:val="26"/>
          <w:szCs w:val="26"/>
        </w:rPr>
        <w:t>Absent a specific definition, “energy usage” may be construed to mean “electric usage” for Act 129 purposes.</w:t>
      </w:r>
    </w:p>
  </w:footnote>
  <w:footnote w:id="26">
    <w:p w:rsidR="00B22FF4" w:rsidRPr="00A84FA3" w:rsidRDefault="00B22FF4" w:rsidP="000227CD">
      <w:pPr>
        <w:pStyle w:val="FootnoteText"/>
        <w:ind w:firstLine="720"/>
        <w:rPr>
          <w:sz w:val="26"/>
          <w:szCs w:val="26"/>
        </w:rPr>
      </w:pPr>
      <w:r w:rsidRPr="00A84FA3">
        <w:rPr>
          <w:rStyle w:val="FootnoteReference"/>
          <w:sz w:val="26"/>
          <w:szCs w:val="26"/>
        </w:rPr>
        <w:footnoteRef/>
      </w:r>
      <w:r w:rsidRPr="00A84FA3">
        <w:rPr>
          <w:sz w:val="26"/>
          <w:szCs w:val="26"/>
        </w:rPr>
        <w:t xml:space="preserve"> </w:t>
      </w:r>
      <w:r w:rsidRPr="00A84FA3">
        <w:rPr>
          <w:sz w:val="26"/>
          <w:szCs w:val="26"/>
        </w:rPr>
        <w:tab/>
      </w:r>
      <w:r w:rsidRPr="00A84FA3">
        <w:rPr>
          <w:i/>
          <w:sz w:val="26"/>
          <w:szCs w:val="26"/>
        </w:rPr>
        <w:t>See</w:t>
      </w:r>
      <w:r w:rsidRPr="00A84FA3">
        <w:rPr>
          <w:sz w:val="26"/>
          <w:szCs w:val="26"/>
        </w:rPr>
        <w:t xml:space="preserve"> Section V.B.1.d. below.</w:t>
      </w:r>
    </w:p>
  </w:footnote>
  <w:footnote w:id="27">
    <w:p w:rsidR="00B22FF4" w:rsidRPr="00ED6995" w:rsidRDefault="00B22FF4" w:rsidP="00553FBD">
      <w:pPr>
        <w:pStyle w:val="FootnoteText"/>
        <w:rPr>
          <w:sz w:val="26"/>
          <w:szCs w:val="26"/>
        </w:rPr>
      </w:pPr>
      <w:r>
        <w:tab/>
      </w:r>
      <w:r w:rsidRPr="00ED6995">
        <w:rPr>
          <w:rStyle w:val="FootnoteReference"/>
          <w:sz w:val="26"/>
          <w:szCs w:val="26"/>
        </w:rPr>
        <w:footnoteRef/>
      </w:r>
      <w:r w:rsidRPr="00ED6995">
        <w:rPr>
          <w:sz w:val="26"/>
          <w:szCs w:val="26"/>
        </w:rPr>
        <w:t xml:space="preserve"> </w:t>
      </w:r>
      <w:r>
        <w:rPr>
          <w:sz w:val="26"/>
          <w:szCs w:val="26"/>
        </w:rPr>
        <w:tab/>
        <w:t>FirstEnergy’s September 21, 2009 Plans at 3, FirstEnergyTable 3.</w:t>
      </w:r>
    </w:p>
  </w:footnote>
  <w:footnote w:id="28">
    <w:p w:rsidR="00B22FF4" w:rsidRPr="009E5F46" w:rsidRDefault="00B22FF4" w:rsidP="00553FBD">
      <w:pPr>
        <w:pStyle w:val="FootnoteText"/>
        <w:rPr>
          <w:sz w:val="26"/>
          <w:szCs w:val="26"/>
        </w:rPr>
      </w:pPr>
      <w:r w:rsidRPr="009E5F46">
        <w:rPr>
          <w:sz w:val="26"/>
          <w:szCs w:val="26"/>
        </w:rPr>
        <w:tab/>
      </w:r>
      <w:r w:rsidRPr="009E5F46">
        <w:rPr>
          <w:rStyle w:val="FootnoteReference"/>
          <w:sz w:val="26"/>
          <w:szCs w:val="26"/>
        </w:rPr>
        <w:footnoteRef/>
      </w:r>
      <w:r w:rsidRPr="009E5F46">
        <w:rPr>
          <w:sz w:val="26"/>
          <w:szCs w:val="26"/>
        </w:rPr>
        <w:t xml:space="preserve"> </w:t>
      </w:r>
      <w:r w:rsidRPr="009E5F46">
        <w:rPr>
          <w:sz w:val="26"/>
          <w:szCs w:val="26"/>
        </w:rPr>
        <w:tab/>
        <w:t xml:space="preserve">FirstEnergy RB </w:t>
      </w:r>
      <w:r>
        <w:rPr>
          <w:sz w:val="26"/>
          <w:szCs w:val="26"/>
        </w:rPr>
        <w:t>at</w:t>
      </w:r>
      <w:r w:rsidRPr="009E5F46">
        <w:rPr>
          <w:sz w:val="26"/>
          <w:szCs w:val="26"/>
        </w:rPr>
        <w:t xml:space="preserve"> 3.</w:t>
      </w:r>
      <w:r>
        <w:rPr>
          <w:sz w:val="26"/>
          <w:szCs w:val="26"/>
        </w:rPr>
        <w:t xml:space="preserve"> </w:t>
      </w:r>
    </w:p>
  </w:footnote>
  <w:footnote w:id="29">
    <w:p w:rsidR="00B22FF4" w:rsidRPr="009E5F46" w:rsidRDefault="00B22FF4" w:rsidP="00553FBD">
      <w:pPr>
        <w:pStyle w:val="FootnoteText"/>
        <w:rPr>
          <w:sz w:val="26"/>
          <w:szCs w:val="26"/>
        </w:rPr>
      </w:pPr>
      <w:r w:rsidRPr="009E5F46">
        <w:rPr>
          <w:sz w:val="26"/>
          <w:szCs w:val="26"/>
        </w:rPr>
        <w:tab/>
      </w:r>
      <w:r w:rsidRPr="009E5F46">
        <w:rPr>
          <w:rStyle w:val="FootnoteReference"/>
          <w:sz w:val="26"/>
          <w:szCs w:val="26"/>
        </w:rPr>
        <w:footnoteRef/>
      </w:r>
      <w:r w:rsidRPr="009E5F46">
        <w:rPr>
          <w:sz w:val="26"/>
          <w:szCs w:val="26"/>
        </w:rPr>
        <w:t xml:space="preserve"> </w:t>
      </w:r>
      <w:r w:rsidRPr="009E5F46">
        <w:rPr>
          <w:sz w:val="26"/>
          <w:szCs w:val="26"/>
        </w:rPr>
        <w:tab/>
        <w:t xml:space="preserve">FirstEnergy </w:t>
      </w:r>
      <w:r>
        <w:rPr>
          <w:sz w:val="26"/>
          <w:szCs w:val="26"/>
        </w:rPr>
        <w:t xml:space="preserve">Exh. RIP-4 at 1-3, line 2; </w:t>
      </w:r>
      <w:r w:rsidRPr="009E5F46">
        <w:rPr>
          <w:sz w:val="26"/>
          <w:szCs w:val="26"/>
        </w:rPr>
        <w:t>Exh. RIP-5</w:t>
      </w:r>
      <w:r>
        <w:rPr>
          <w:sz w:val="26"/>
          <w:szCs w:val="26"/>
        </w:rPr>
        <w:t xml:space="preserve"> at</w:t>
      </w:r>
      <w:r w:rsidRPr="009E5F46">
        <w:rPr>
          <w:sz w:val="26"/>
          <w:szCs w:val="26"/>
        </w:rPr>
        <w:t xml:space="preserve"> 1</w:t>
      </w:r>
      <w:r>
        <w:rPr>
          <w:sz w:val="26"/>
          <w:szCs w:val="26"/>
        </w:rPr>
        <w:t>-3</w:t>
      </w:r>
      <w:r w:rsidRPr="009E5F46">
        <w:rPr>
          <w:sz w:val="26"/>
          <w:szCs w:val="26"/>
        </w:rPr>
        <w:t>, line 4</w:t>
      </w:r>
      <w:r>
        <w:rPr>
          <w:sz w:val="26"/>
          <w:szCs w:val="26"/>
        </w:rPr>
        <w:t xml:space="preserve"> (exclusive of common costs from Table 6c).</w:t>
      </w:r>
    </w:p>
  </w:footnote>
  <w:footnote w:id="30">
    <w:p w:rsidR="00B22FF4" w:rsidRPr="00284D23" w:rsidRDefault="00B22FF4" w:rsidP="00553FBD">
      <w:pPr>
        <w:pStyle w:val="FootnoteText"/>
        <w:rPr>
          <w:sz w:val="26"/>
          <w:szCs w:val="26"/>
        </w:rPr>
      </w:pPr>
      <w:r>
        <w:tab/>
      </w:r>
      <w:r w:rsidRPr="00284D23">
        <w:rPr>
          <w:rStyle w:val="FootnoteReference"/>
          <w:sz w:val="26"/>
          <w:szCs w:val="26"/>
        </w:rPr>
        <w:footnoteRef/>
      </w:r>
      <w:r w:rsidRPr="00284D23">
        <w:rPr>
          <w:sz w:val="26"/>
          <w:szCs w:val="26"/>
        </w:rPr>
        <w:t xml:space="preserve"> </w:t>
      </w:r>
      <w:r>
        <w:rPr>
          <w:sz w:val="26"/>
          <w:szCs w:val="26"/>
        </w:rPr>
        <w:tab/>
        <w:t>FirstEnergy’s September 21, 2009 Plans at Appendix H (exclusive of common costs from Table 6B).</w:t>
      </w:r>
    </w:p>
  </w:footnote>
  <w:footnote w:id="31">
    <w:p w:rsidR="00B22FF4" w:rsidRPr="00CD3F60" w:rsidRDefault="00B22FF4" w:rsidP="00023BD3">
      <w:pPr>
        <w:pStyle w:val="FootnoteText"/>
        <w:rPr>
          <w:sz w:val="26"/>
          <w:szCs w:val="26"/>
        </w:rPr>
      </w:pPr>
      <w:r>
        <w:rPr>
          <w:sz w:val="26"/>
          <w:szCs w:val="26"/>
        </w:rPr>
        <w:tab/>
      </w:r>
      <w:r w:rsidRPr="00CD3F60">
        <w:rPr>
          <w:rStyle w:val="FootnoteReference"/>
          <w:sz w:val="26"/>
          <w:szCs w:val="26"/>
        </w:rPr>
        <w:footnoteRef/>
      </w:r>
      <w:r>
        <w:rPr>
          <w:sz w:val="26"/>
          <w:szCs w:val="26"/>
        </w:rPr>
        <w:t xml:space="preserve"> </w:t>
      </w:r>
      <w:r>
        <w:rPr>
          <w:sz w:val="26"/>
          <w:szCs w:val="26"/>
        </w:rPr>
        <w:tab/>
      </w:r>
      <w:r>
        <w:rPr>
          <w:i/>
          <w:sz w:val="26"/>
          <w:szCs w:val="26"/>
        </w:rPr>
        <w:t>Id</w:t>
      </w:r>
      <w:r w:rsidRPr="00CD3F60">
        <w:rPr>
          <w:sz w:val="26"/>
          <w:szCs w:val="26"/>
        </w:rPr>
        <w:t>.</w:t>
      </w:r>
    </w:p>
  </w:footnote>
  <w:footnote w:id="32">
    <w:p w:rsidR="00B22FF4" w:rsidRPr="00CD3F60" w:rsidRDefault="00B22FF4" w:rsidP="00023BD3">
      <w:pPr>
        <w:pStyle w:val="FootnoteText"/>
        <w:rPr>
          <w:sz w:val="26"/>
          <w:szCs w:val="26"/>
        </w:rPr>
      </w:pPr>
      <w:r>
        <w:tab/>
      </w:r>
      <w:r w:rsidRPr="00CD3F60">
        <w:rPr>
          <w:rStyle w:val="FootnoteReference"/>
          <w:sz w:val="26"/>
          <w:szCs w:val="26"/>
        </w:rPr>
        <w:footnoteRef/>
      </w:r>
      <w:r w:rsidRPr="00CD3F60">
        <w:rPr>
          <w:sz w:val="26"/>
          <w:szCs w:val="26"/>
        </w:rPr>
        <w:t xml:space="preserve"> </w:t>
      </w:r>
      <w:r>
        <w:rPr>
          <w:sz w:val="26"/>
          <w:szCs w:val="26"/>
        </w:rPr>
        <w:tab/>
        <w:t>FirstEnergy’s September 21, 2009 Plans at Table 6B.</w:t>
      </w:r>
    </w:p>
  </w:footnote>
  <w:footnote w:id="33">
    <w:p w:rsidR="00B22FF4" w:rsidRPr="00767B6E" w:rsidRDefault="00B22FF4" w:rsidP="00767B6E">
      <w:pPr>
        <w:pStyle w:val="FootnoteText"/>
        <w:ind w:firstLine="720"/>
        <w:rPr>
          <w:sz w:val="26"/>
          <w:szCs w:val="26"/>
        </w:rPr>
      </w:pPr>
      <w:r w:rsidRPr="00767B6E">
        <w:rPr>
          <w:rStyle w:val="FootnoteReference"/>
          <w:sz w:val="26"/>
          <w:szCs w:val="26"/>
        </w:rPr>
        <w:footnoteRef/>
      </w:r>
      <w:r w:rsidRPr="00767B6E">
        <w:rPr>
          <w:sz w:val="26"/>
          <w:szCs w:val="26"/>
        </w:rPr>
        <w:t xml:space="preserve"> </w:t>
      </w:r>
      <w:r w:rsidRPr="00767B6E">
        <w:rPr>
          <w:sz w:val="26"/>
          <w:szCs w:val="26"/>
        </w:rPr>
        <w:tab/>
        <w:t xml:space="preserve">The “Small C&amp;I” category discussed by the OSBA is the “Commercial Customer Class” as stated in the Plans.  The “Large C&amp;I” category discussed by the OSBA is the “Industrial Customer Class” as stated in the Plans.  </w:t>
      </w:r>
      <w:r w:rsidRPr="00767B6E">
        <w:rPr>
          <w:i/>
          <w:sz w:val="26"/>
          <w:szCs w:val="26"/>
        </w:rPr>
        <w:t>See</w:t>
      </w:r>
      <w:r w:rsidRPr="00767B6E">
        <w:rPr>
          <w:sz w:val="26"/>
          <w:szCs w:val="26"/>
        </w:rPr>
        <w:t xml:space="preserve"> FirstEnergy’s September 21, 2009 Plans Appendix H at 1.</w:t>
      </w:r>
    </w:p>
  </w:footnote>
  <w:footnote w:id="34">
    <w:p w:rsidR="00B22FF4" w:rsidRPr="004262CC" w:rsidRDefault="00B22FF4" w:rsidP="00A666B0">
      <w:pPr>
        <w:pStyle w:val="FootnoteText"/>
        <w:rPr>
          <w:sz w:val="26"/>
          <w:szCs w:val="26"/>
        </w:rPr>
      </w:pPr>
      <w:r>
        <w:rPr>
          <w:sz w:val="26"/>
          <w:szCs w:val="26"/>
        </w:rPr>
        <w:tab/>
      </w:r>
      <w:r w:rsidRPr="007D7066">
        <w:rPr>
          <w:rStyle w:val="FootnoteReference"/>
          <w:sz w:val="26"/>
          <w:szCs w:val="26"/>
        </w:rPr>
        <w:footnoteRef/>
      </w:r>
      <w:r w:rsidRPr="007D7066">
        <w:rPr>
          <w:sz w:val="26"/>
          <w:szCs w:val="26"/>
        </w:rPr>
        <w:t xml:space="preserve"> </w:t>
      </w:r>
      <w:r>
        <w:rPr>
          <w:sz w:val="26"/>
          <w:szCs w:val="26"/>
        </w:rPr>
        <w:tab/>
        <w:t>As defined by the Act, all costs incurred to implement EE&amp;C Plans are subject to the two percent cost limitation.  66 Pa. C.S. § 2806.1(h).</w:t>
      </w:r>
    </w:p>
  </w:footnote>
  <w:footnote w:id="35">
    <w:p w:rsidR="00B22FF4" w:rsidRPr="00D37851" w:rsidRDefault="00B22FF4" w:rsidP="00392938">
      <w:pPr>
        <w:pStyle w:val="FootnoteText"/>
        <w:rPr>
          <w:sz w:val="26"/>
          <w:szCs w:val="26"/>
        </w:rPr>
      </w:pPr>
      <w:r>
        <w:rPr>
          <w:sz w:val="26"/>
          <w:szCs w:val="26"/>
        </w:rPr>
        <w:tab/>
      </w:r>
      <w:r w:rsidRPr="00D37851">
        <w:rPr>
          <w:rStyle w:val="FootnoteReference"/>
          <w:sz w:val="26"/>
          <w:szCs w:val="26"/>
        </w:rPr>
        <w:footnoteRef/>
      </w:r>
      <w:r w:rsidRPr="00D37851">
        <w:rPr>
          <w:sz w:val="26"/>
          <w:szCs w:val="26"/>
        </w:rPr>
        <w:t xml:space="preserve"> </w:t>
      </w:r>
      <w:r>
        <w:rPr>
          <w:sz w:val="26"/>
          <w:szCs w:val="26"/>
        </w:rPr>
        <w:tab/>
        <w:t>Penn Power is not currently a member of PJM, but has announced that it intends to join PJM.</w:t>
      </w:r>
    </w:p>
  </w:footnote>
  <w:footnote w:id="36">
    <w:p w:rsidR="00B22FF4" w:rsidRPr="00A159D3" w:rsidRDefault="00B22FF4" w:rsidP="00570386">
      <w:pPr>
        <w:ind w:firstLine="1440"/>
        <w:rPr>
          <w:sz w:val="26"/>
          <w:szCs w:val="26"/>
        </w:rPr>
      </w:pPr>
      <w:r w:rsidRPr="00A159D3">
        <w:rPr>
          <w:rStyle w:val="FootnoteReference"/>
          <w:rFonts w:eastAsiaTheme="majorEastAsia"/>
          <w:sz w:val="26"/>
          <w:szCs w:val="26"/>
        </w:rPr>
        <w:footnoteRef/>
      </w:r>
      <w:r w:rsidRPr="00A159D3">
        <w:rPr>
          <w:sz w:val="26"/>
          <w:szCs w:val="26"/>
        </w:rPr>
        <w:t xml:space="preserve"> </w:t>
      </w:r>
      <w:r w:rsidRPr="00A159D3">
        <w:rPr>
          <w:sz w:val="26"/>
          <w:szCs w:val="26"/>
        </w:rPr>
        <w:tab/>
      </w:r>
      <w:hyperlink r:id="rId2" w:history="1">
        <w:r w:rsidRPr="00A159D3">
          <w:rPr>
            <w:rStyle w:val="Hyperlink"/>
            <w:rFonts w:eastAsiaTheme="majorEastAsia"/>
            <w:color w:val="auto"/>
            <w:sz w:val="26"/>
            <w:szCs w:val="26"/>
          </w:rPr>
          <w:t>http://www.pjm.com/markets-and-operations/demand-response/dr-energy-market.aspx</w:t>
        </w:r>
      </w:hyperlink>
    </w:p>
    <w:p w:rsidR="00B22FF4" w:rsidRDefault="00B22FF4" w:rsidP="00570386">
      <w:pPr>
        <w:pStyle w:val="FootnoteText"/>
      </w:pPr>
    </w:p>
  </w:footnote>
  <w:footnote w:id="37">
    <w:p w:rsidR="00B22FF4" w:rsidRPr="00512007" w:rsidRDefault="00B22FF4" w:rsidP="00512007">
      <w:pPr>
        <w:pStyle w:val="FootnoteText"/>
        <w:ind w:firstLine="720"/>
        <w:rPr>
          <w:sz w:val="26"/>
          <w:szCs w:val="26"/>
        </w:rPr>
      </w:pPr>
      <w:r w:rsidRPr="00512007">
        <w:rPr>
          <w:rStyle w:val="FootnoteReference"/>
          <w:sz w:val="26"/>
          <w:szCs w:val="26"/>
        </w:rPr>
        <w:footnoteRef/>
      </w:r>
      <w:r w:rsidRPr="00512007">
        <w:rPr>
          <w:sz w:val="26"/>
          <w:szCs w:val="26"/>
        </w:rPr>
        <w:t xml:space="preserve"> </w:t>
      </w:r>
      <w:r w:rsidRPr="00512007">
        <w:rPr>
          <w:sz w:val="26"/>
          <w:szCs w:val="26"/>
        </w:rPr>
        <w:tab/>
      </w:r>
      <w:r>
        <w:rPr>
          <w:sz w:val="26"/>
          <w:szCs w:val="26"/>
        </w:rPr>
        <w:t>We take judicial notice, pursuant to 52 Pa. Code § 5.408(a), that on October 2, 2009, MISO filed proposed tariff revisions with the Federal Energy Regulatory Commission relating to Aggregators of Retail Customers.</w:t>
      </w:r>
    </w:p>
  </w:footnote>
  <w:footnote w:id="38">
    <w:p w:rsidR="00B22FF4" w:rsidRPr="00B8235E" w:rsidRDefault="00B22FF4" w:rsidP="00B8235E">
      <w:pPr>
        <w:pStyle w:val="FootnoteText"/>
        <w:ind w:firstLine="720"/>
        <w:rPr>
          <w:sz w:val="26"/>
          <w:szCs w:val="26"/>
        </w:rPr>
      </w:pPr>
      <w:r w:rsidRPr="00B8235E">
        <w:rPr>
          <w:rStyle w:val="FootnoteReference"/>
          <w:sz w:val="26"/>
          <w:szCs w:val="26"/>
        </w:rPr>
        <w:footnoteRef/>
      </w:r>
      <w:r w:rsidRPr="00B8235E">
        <w:rPr>
          <w:sz w:val="26"/>
          <w:szCs w:val="26"/>
        </w:rPr>
        <w:t xml:space="preserve"> </w:t>
      </w:r>
      <w:r w:rsidRPr="00B8235E">
        <w:rPr>
          <w:sz w:val="26"/>
          <w:szCs w:val="26"/>
        </w:rPr>
        <w:tab/>
        <w:t>The DEP addresses the continuing stakeholder process, which was dis</w:t>
      </w:r>
      <w:r>
        <w:rPr>
          <w:sz w:val="26"/>
          <w:szCs w:val="26"/>
        </w:rPr>
        <w:t>cussed above in Section V.A.7.d.</w:t>
      </w:r>
      <w:r w:rsidRPr="00B8235E">
        <w:rPr>
          <w:sz w:val="26"/>
          <w:szCs w:val="26"/>
        </w:rPr>
        <w:t>(1).</w:t>
      </w:r>
    </w:p>
  </w:footnote>
  <w:footnote w:id="39">
    <w:p w:rsidR="00B22FF4" w:rsidRPr="00C26BD5" w:rsidRDefault="00B22FF4" w:rsidP="00C26BD5">
      <w:pPr>
        <w:pStyle w:val="FootnoteText"/>
        <w:tabs>
          <w:tab w:val="left" w:pos="810"/>
        </w:tabs>
        <w:ind w:firstLine="720"/>
        <w:rPr>
          <w:sz w:val="26"/>
          <w:szCs w:val="26"/>
        </w:rPr>
      </w:pPr>
      <w:r w:rsidRPr="00C26BD5">
        <w:rPr>
          <w:rStyle w:val="FootnoteReference"/>
          <w:sz w:val="26"/>
          <w:szCs w:val="26"/>
        </w:rPr>
        <w:footnoteRef/>
      </w:r>
      <w:r w:rsidRPr="00C26BD5">
        <w:rPr>
          <w:sz w:val="26"/>
          <w:szCs w:val="26"/>
        </w:rPr>
        <w:t xml:space="preserve"> </w:t>
      </w:r>
      <w:r w:rsidRPr="00C26BD5">
        <w:rPr>
          <w:sz w:val="26"/>
          <w:szCs w:val="26"/>
        </w:rPr>
        <w:tab/>
        <w:t>We reiterate that this annual report shall include an updated TRC analysis.  See Section V.B.2, above.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F4" w:rsidRDefault="00B22FF4">
    <w:pPr>
      <w:pStyle w:val="Header"/>
      <w:jc w:val="center"/>
    </w:pPr>
  </w:p>
  <w:p w:rsidR="00B22FF4" w:rsidRDefault="00B22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A5C"/>
    <w:multiLevelType w:val="hybridMultilevel"/>
    <w:tmpl w:val="4E4AD8B2"/>
    <w:lvl w:ilvl="0" w:tplc="E2DEE8D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42E2647"/>
    <w:multiLevelType w:val="hybridMultilevel"/>
    <w:tmpl w:val="76D44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E536341"/>
    <w:multiLevelType w:val="multilevel"/>
    <w:tmpl w:val="A6DE31F6"/>
    <w:name w:val="zzmpBrief||Brief|3|1|1|1|2|41||1|0|33||1|0|32||1|0|33||1|0|32||1|0|32||1|0|32||1|0|32||1|0|32||"/>
    <w:lvl w:ilvl="0">
      <w:start w:val="1"/>
      <w:numFmt w:val="upperRoman"/>
      <w:pStyle w:val="BriefL1"/>
      <w:lvlText w:val="%1."/>
      <w:lvlJc w:val="left"/>
      <w:pPr>
        <w:tabs>
          <w:tab w:val="num" w:pos="720"/>
        </w:tabs>
        <w:ind w:left="0" w:firstLine="0"/>
      </w:pPr>
      <w:rPr>
        <w:b/>
        <w:i w:val="0"/>
        <w:caps/>
        <w:smallCaps w:val="0"/>
        <w:u w:val="none"/>
      </w:rPr>
    </w:lvl>
    <w:lvl w:ilvl="1">
      <w:start w:val="1"/>
      <w:numFmt w:val="upperLetter"/>
      <w:pStyle w:val="BriefL2"/>
      <w:lvlText w:val="%2."/>
      <w:lvlJc w:val="left"/>
      <w:pPr>
        <w:tabs>
          <w:tab w:val="num" w:pos="1440"/>
        </w:tabs>
        <w:ind w:left="1440" w:hanging="720"/>
      </w:pPr>
      <w:rPr>
        <w:b/>
        <w:i w:val="0"/>
        <w:caps w:val="0"/>
        <w:u w:val="none"/>
      </w:rPr>
    </w:lvl>
    <w:lvl w:ilvl="2">
      <w:start w:val="1"/>
      <w:numFmt w:val="decimal"/>
      <w:pStyle w:val="BriefL3"/>
      <w:lvlText w:val="%3."/>
      <w:lvlJc w:val="left"/>
      <w:pPr>
        <w:tabs>
          <w:tab w:val="num" w:pos="2160"/>
        </w:tabs>
        <w:ind w:left="2160" w:hanging="720"/>
      </w:pPr>
      <w:rPr>
        <w:b/>
        <w:i w:val="0"/>
        <w:caps w:val="0"/>
        <w:u w:val="none"/>
      </w:rPr>
    </w:lvl>
    <w:lvl w:ilvl="3">
      <w:start w:val="1"/>
      <w:numFmt w:val="lowerLetter"/>
      <w:pStyle w:val="BriefL4"/>
      <w:lvlText w:val="%4."/>
      <w:lvlJc w:val="left"/>
      <w:pPr>
        <w:tabs>
          <w:tab w:val="num" w:pos="2880"/>
        </w:tabs>
        <w:ind w:left="2880" w:hanging="720"/>
      </w:pPr>
      <w:rPr>
        <w:b/>
        <w:i w:val="0"/>
        <w:caps w:val="0"/>
        <w:u w:val="none"/>
      </w:rPr>
    </w:lvl>
    <w:lvl w:ilvl="4">
      <w:start w:val="1"/>
      <w:numFmt w:val="decimal"/>
      <w:pStyle w:val="BriefL5"/>
      <w:lvlText w:val="(%5)"/>
      <w:lvlJc w:val="left"/>
      <w:pPr>
        <w:tabs>
          <w:tab w:val="num" w:pos="3600"/>
        </w:tabs>
        <w:ind w:left="3600" w:hanging="720"/>
      </w:pPr>
      <w:rPr>
        <w:b w:val="0"/>
        <w:i w:val="0"/>
        <w:caps w:val="0"/>
        <w:u w:val="none"/>
      </w:rPr>
    </w:lvl>
    <w:lvl w:ilvl="5">
      <w:start w:val="1"/>
      <w:numFmt w:val="lowerLetter"/>
      <w:pStyle w:val="BriefL6"/>
      <w:lvlText w:val="(%6)"/>
      <w:lvlJc w:val="left"/>
      <w:pPr>
        <w:tabs>
          <w:tab w:val="num" w:pos="4320"/>
        </w:tabs>
        <w:ind w:left="4320" w:hanging="720"/>
      </w:pPr>
      <w:rPr>
        <w:b w:val="0"/>
        <w:i w:val="0"/>
        <w:caps w:val="0"/>
        <w:u w:val="none"/>
      </w:rPr>
    </w:lvl>
    <w:lvl w:ilvl="6">
      <w:start w:val="1"/>
      <w:numFmt w:val="lowerRoman"/>
      <w:pStyle w:val="BriefL7"/>
      <w:lvlText w:val="(%7)"/>
      <w:lvlJc w:val="left"/>
      <w:pPr>
        <w:tabs>
          <w:tab w:val="num" w:pos="5040"/>
        </w:tabs>
        <w:ind w:left="5040" w:hanging="720"/>
      </w:pPr>
      <w:rPr>
        <w:b w:val="0"/>
        <w:i w:val="0"/>
        <w:caps w:val="0"/>
        <w:u w:val="none"/>
      </w:rPr>
    </w:lvl>
    <w:lvl w:ilvl="7">
      <w:start w:val="1"/>
      <w:numFmt w:val="lowerLetter"/>
      <w:pStyle w:val="BriefL8"/>
      <w:lvlText w:val="%8)"/>
      <w:lvlJc w:val="left"/>
      <w:pPr>
        <w:tabs>
          <w:tab w:val="num" w:pos="5760"/>
        </w:tabs>
        <w:ind w:left="5760" w:hanging="720"/>
      </w:pPr>
      <w:rPr>
        <w:b w:val="0"/>
        <w:i w:val="0"/>
        <w:caps w:val="0"/>
        <w:u w:val="none"/>
      </w:rPr>
    </w:lvl>
    <w:lvl w:ilvl="8">
      <w:start w:val="1"/>
      <w:numFmt w:val="lowerRoman"/>
      <w:pStyle w:val="BriefL9"/>
      <w:lvlText w:val="%9)"/>
      <w:lvlJc w:val="left"/>
      <w:pPr>
        <w:tabs>
          <w:tab w:val="num" w:pos="6480"/>
        </w:tabs>
        <w:ind w:left="6480" w:hanging="720"/>
      </w:pPr>
      <w:rPr>
        <w:b w:val="0"/>
        <w:i w:val="0"/>
        <w:caps w:val="0"/>
        <w:u w:val="none"/>
      </w:rPr>
    </w:lvl>
  </w:abstractNum>
  <w:abstractNum w:abstractNumId="3">
    <w:nsid w:val="35F94DB5"/>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380C5EF2"/>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B4213"/>
    <w:multiLevelType w:val="hybridMultilevel"/>
    <w:tmpl w:val="560A2EFA"/>
    <w:lvl w:ilvl="0" w:tplc="BDA889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F461A6"/>
    <w:rsid w:val="000004A8"/>
    <w:rsid w:val="00000D10"/>
    <w:rsid w:val="000017DE"/>
    <w:rsid w:val="000050A5"/>
    <w:rsid w:val="0000701D"/>
    <w:rsid w:val="00007355"/>
    <w:rsid w:val="00010B60"/>
    <w:rsid w:val="00010DC0"/>
    <w:rsid w:val="00010E15"/>
    <w:rsid w:val="00010EC3"/>
    <w:rsid w:val="0001265B"/>
    <w:rsid w:val="00013409"/>
    <w:rsid w:val="00013762"/>
    <w:rsid w:val="00014AC5"/>
    <w:rsid w:val="00016B13"/>
    <w:rsid w:val="000177E9"/>
    <w:rsid w:val="00017852"/>
    <w:rsid w:val="00020EE2"/>
    <w:rsid w:val="000212DB"/>
    <w:rsid w:val="00021493"/>
    <w:rsid w:val="0002216B"/>
    <w:rsid w:val="000227CD"/>
    <w:rsid w:val="00022AE1"/>
    <w:rsid w:val="00022B74"/>
    <w:rsid w:val="00022C4F"/>
    <w:rsid w:val="00023ACB"/>
    <w:rsid w:val="00023BD3"/>
    <w:rsid w:val="000249DC"/>
    <w:rsid w:val="00025AC4"/>
    <w:rsid w:val="00025AE3"/>
    <w:rsid w:val="00026207"/>
    <w:rsid w:val="000262F4"/>
    <w:rsid w:val="00026612"/>
    <w:rsid w:val="00031345"/>
    <w:rsid w:val="0003176C"/>
    <w:rsid w:val="000329C2"/>
    <w:rsid w:val="0003351A"/>
    <w:rsid w:val="00033853"/>
    <w:rsid w:val="00034FFB"/>
    <w:rsid w:val="0003530B"/>
    <w:rsid w:val="0003731E"/>
    <w:rsid w:val="000374AC"/>
    <w:rsid w:val="000403DD"/>
    <w:rsid w:val="000414C0"/>
    <w:rsid w:val="000421FE"/>
    <w:rsid w:val="0004330A"/>
    <w:rsid w:val="00043FE9"/>
    <w:rsid w:val="00047236"/>
    <w:rsid w:val="00047304"/>
    <w:rsid w:val="0004734D"/>
    <w:rsid w:val="00047404"/>
    <w:rsid w:val="00047F4A"/>
    <w:rsid w:val="00050437"/>
    <w:rsid w:val="0005126E"/>
    <w:rsid w:val="000518D3"/>
    <w:rsid w:val="00051AC5"/>
    <w:rsid w:val="00051C07"/>
    <w:rsid w:val="00051DBA"/>
    <w:rsid w:val="00054612"/>
    <w:rsid w:val="000547D7"/>
    <w:rsid w:val="0005510D"/>
    <w:rsid w:val="0005549C"/>
    <w:rsid w:val="0005598E"/>
    <w:rsid w:val="00055F69"/>
    <w:rsid w:val="00056286"/>
    <w:rsid w:val="00056446"/>
    <w:rsid w:val="0005685C"/>
    <w:rsid w:val="0006266B"/>
    <w:rsid w:val="000649EC"/>
    <w:rsid w:val="000662FC"/>
    <w:rsid w:val="00066C7D"/>
    <w:rsid w:val="00066FA5"/>
    <w:rsid w:val="00067981"/>
    <w:rsid w:val="00073201"/>
    <w:rsid w:val="00073FA7"/>
    <w:rsid w:val="0007482E"/>
    <w:rsid w:val="000750D0"/>
    <w:rsid w:val="00075E35"/>
    <w:rsid w:val="00076F15"/>
    <w:rsid w:val="000801AA"/>
    <w:rsid w:val="000806C8"/>
    <w:rsid w:val="000807C4"/>
    <w:rsid w:val="00080CF1"/>
    <w:rsid w:val="000819B2"/>
    <w:rsid w:val="000843A7"/>
    <w:rsid w:val="000854A4"/>
    <w:rsid w:val="00085623"/>
    <w:rsid w:val="00085DD9"/>
    <w:rsid w:val="000865FB"/>
    <w:rsid w:val="000867F2"/>
    <w:rsid w:val="00086B1A"/>
    <w:rsid w:val="000906BB"/>
    <w:rsid w:val="00090B35"/>
    <w:rsid w:val="000924A7"/>
    <w:rsid w:val="000939BC"/>
    <w:rsid w:val="000940D5"/>
    <w:rsid w:val="00094E89"/>
    <w:rsid w:val="00094FA2"/>
    <w:rsid w:val="00095BB7"/>
    <w:rsid w:val="00095C0E"/>
    <w:rsid w:val="00096E5E"/>
    <w:rsid w:val="00097504"/>
    <w:rsid w:val="000A081C"/>
    <w:rsid w:val="000A1EAC"/>
    <w:rsid w:val="000A365D"/>
    <w:rsid w:val="000A3BBC"/>
    <w:rsid w:val="000A3E2D"/>
    <w:rsid w:val="000A43FA"/>
    <w:rsid w:val="000A4527"/>
    <w:rsid w:val="000A4AD2"/>
    <w:rsid w:val="000A6E82"/>
    <w:rsid w:val="000A78D1"/>
    <w:rsid w:val="000B1D68"/>
    <w:rsid w:val="000B216D"/>
    <w:rsid w:val="000B27CC"/>
    <w:rsid w:val="000B4D2E"/>
    <w:rsid w:val="000B4EAE"/>
    <w:rsid w:val="000B5724"/>
    <w:rsid w:val="000B6B15"/>
    <w:rsid w:val="000B6DA3"/>
    <w:rsid w:val="000B70B7"/>
    <w:rsid w:val="000B768B"/>
    <w:rsid w:val="000B7C04"/>
    <w:rsid w:val="000C072F"/>
    <w:rsid w:val="000C1912"/>
    <w:rsid w:val="000C25D6"/>
    <w:rsid w:val="000C2AE3"/>
    <w:rsid w:val="000C35C3"/>
    <w:rsid w:val="000C3D32"/>
    <w:rsid w:val="000C414C"/>
    <w:rsid w:val="000C45E8"/>
    <w:rsid w:val="000C5027"/>
    <w:rsid w:val="000C6C08"/>
    <w:rsid w:val="000C76E0"/>
    <w:rsid w:val="000D029C"/>
    <w:rsid w:val="000D1340"/>
    <w:rsid w:val="000D3381"/>
    <w:rsid w:val="000D3661"/>
    <w:rsid w:val="000D6CE7"/>
    <w:rsid w:val="000E0E2E"/>
    <w:rsid w:val="000E0F94"/>
    <w:rsid w:val="000E21DC"/>
    <w:rsid w:val="000E2A28"/>
    <w:rsid w:val="000E396E"/>
    <w:rsid w:val="000E42EE"/>
    <w:rsid w:val="000E4EBD"/>
    <w:rsid w:val="000E751F"/>
    <w:rsid w:val="000F0964"/>
    <w:rsid w:val="000F23EE"/>
    <w:rsid w:val="000F2BBB"/>
    <w:rsid w:val="000F383E"/>
    <w:rsid w:val="000F38E1"/>
    <w:rsid w:val="000F3914"/>
    <w:rsid w:val="000F477C"/>
    <w:rsid w:val="000F4EEF"/>
    <w:rsid w:val="000F6027"/>
    <w:rsid w:val="000F74FF"/>
    <w:rsid w:val="000F79BB"/>
    <w:rsid w:val="000F7A89"/>
    <w:rsid w:val="000F7B03"/>
    <w:rsid w:val="000F7C17"/>
    <w:rsid w:val="001009CD"/>
    <w:rsid w:val="00100D31"/>
    <w:rsid w:val="00101601"/>
    <w:rsid w:val="00101667"/>
    <w:rsid w:val="00106D89"/>
    <w:rsid w:val="001106E8"/>
    <w:rsid w:val="00110701"/>
    <w:rsid w:val="0011138C"/>
    <w:rsid w:val="00112041"/>
    <w:rsid w:val="0011561B"/>
    <w:rsid w:val="0011598A"/>
    <w:rsid w:val="00115E51"/>
    <w:rsid w:val="001164F4"/>
    <w:rsid w:val="00117C62"/>
    <w:rsid w:val="00117CB2"/>
    <w:rsid w:val="001207D5"/>
    <w:rsid w:val="00122B42"/>
    <w:rsid w:val="00123455"/>
    <w:rsid w:val="0012383B"/>
    <w:rsid w:val="00124980"/>
    <w:rsid w:val="001267D4"/>
    <w:rsid w:val="00126B65"/>
    <w:rsid w:val="00126F03"/>
    <w:rsid w:val="00126F43"/>
    <w:rsid w:val="0012745A"/>
    <w:rsid w:val="00127636"/>
    <w:rsid w:val="001306AD"/>
    <w:rsid w:val="00131E29"/>
    <w:rsid w:val="00132400"/>
    <w:rsid w:val="00134EB9"/>
    <w:rsid w:val="001360FC"/>
    <w:rsid w:val="00137D20"/>
    <w:rsid w:val="00137EDF"/>
    <w:rsid w:val="00141751"/>
    <w:rsid w:val="00143341"/>
    <w:rsid w:val="001435FD"/>
    <w:rsid w:val="00143A76"/>
    <w:rsid w:val="00143E8B"/>
    <w:rsid w:val="0014401E"/>
    <w:rsid w:val="0014426C"/>
    <w:rsid w:val="00144341"/>
    <w:rsid w:val="001444C6"/>
    <w:rsid w:val="00147145"/>
    <w:rsid w:val="00150A71"/>
    <w:rsid w:val="00151BBC"/>
    <w:rsid w:val="00151F00"/>
    <w:rsid w:val="00152000"/>
    <w:rsid w:val="001537D2"/>
    <w:rsid w:val="00153D05"/>
    <w:rsid w:val="00154497"/>
    <w:rsid w:val="0015521D"/>
    <w:rsid w:val="0016013C"/>
    <w:rsid w:val="00161B5B"/>
    <w:rsid w:val="0016271B"/>
    <w:rsid w:val="00162AE9"/>
    <w:rsid w:val="001639C2"/>
    <w:rsid w:val="001661DD"/>
    <w:rsid w:val="0016632E"/>
    <w:rsid w:val="001663C8"/>
    <w:rsid w:val="00167964"/>
    <w:rsid w:val="00170C83"/>
    <w:rsid w:val="00172142"/>
    <w:rsid w:val="001724DF"/>
    <w:rsid w:val="00173408"/>
    <w:rsid w:val="00173A06"/>
    <w:rsid w:val="00173AC1"/>
    <w:rsid w:val="001742A8"/>
    <w:rsid w:val="00174CCE"/>
    <w:rsid w:val="00174D3D"/>
    <w:rsid w:val="001751E4"/>
    <w:rsid w:val="00175D60"/>
    <w:rsid w:val="00181644"/>
    <w:rsid w:val="00182238"/>
    <w:rsid w:val="00182713"/>
    <w:rsid w:val="00182CA7"/>
    <w:rsid w:val="001832EB"/>
    <w:rsid w:val="001843FD"/>
    <w:rsid w:val="0018452B"/>
    <w:rsid w:val="00184812"/>
    <w:rsid w:val="00184E1C"/>
    <w:rsid w:val="001851F3"/>
    <w:rsid w:val="00187DC0"/>
    <w:rsid w:val="00190841"/>
    <w:rsid w:val="001927FC"/>
    <w:rsid w:val="0019292A"/>
    <w:rsid w:val="001935BB"/>
    <w:rsid w:val="0019448A"/>
    <w:rsid w:val="00197273"/>
    <w:rsid w:val="001972DA"/>
    <w:rsid w:val="00197371"/>
    <w:rsid w:val="00197C4B"/>
    <w:rsid w:val="001A005F"/>
    <w:rsid w:val="001A038D"/>
    <w:rsid w:val="001A05D7"/>
    <w:rsid w:val="001A1F1E"/>
    <w:rsid w:val="001A25C4"/>
    <w:rsid w:val="001A29E2"/>
    <w:rsid w:val="001A395D"/>
    <w:rsid w:val="001A4132"/>
    <w:rsid w:val="001A4952"/>
    <w:rsid w:val="001A4A4E"/>
    <w:rsid w:val="001A5400"/>
    <w:rsid w:val="001A70B8"/>
    <w:rsid w:val="001B3BD8"/>
    <w:rsid w:val="001B5DD6"/>
    <w:rsid w:val="001B6442"/>
    <w:rsid w:val="001B6595"/>
    <w:rsid w:val="001B6C4B"/>
    <w:rsid w:val="001C010A"/>
    <w:rsid w:val="001C185A"/>
    <w:rsid w:val="001C1DCA"/>
    <w:rsid w:val="001C2811"/>
    <w:rsid w:val="001C2C70"/>
    <w:rsid w:val="001C307A"/>
    <w:rsid w:val="001C59AE"/>
    <w:rsid w:val="001C5F5E"/>
    <w:rsid w:val="001C6609"/>
    <w:rsid w:val="001C67A1"/>
    <w:rsid w:val="001C718B"/>
    <w:rsid w:val="001D05F6"/>
    <w:rsid w:val="001D0D76"/>
    <w:rsid w:val="001D2277"/>
    <w:rsid w:val="001D3AE6"/>
    <w:rsid w:val="001D4F01"/>
    <w:rsid w:val="001D6963"/>
    <w:rsid w:val="001D6E22"/>
    <w:rsid w:val="001D7DC2"/>
    <w:rsid w:val="001E1276"/>
    <w:rsid w:val="001E1AEB"/>
    <w:rsid w:val="001E2A99"/>
    <w:rsid w:val="001E3672"/>
    <w:rsid w:val="001E4463"/>
    <w:rsid w:val="001E46BE"/>
    <w:rsid w:val="001E4A76"/>
    <w:rsid w:val="001E4B37"/>
    <w:rsid w:val="001E5AF9"/>
    <w:rsid w:val="001E5F90"/>
    <w:rsid w:val="001E694B"/>
    <w:rsid w:val="001E7C7B"/>
    <w:rsid w:val="001F0D6A"/>
    <w:rsid w:val="001F1D20"/>
    <w:rsid w:val="001F4F60"/>
    <w:rsid w:val="001F71E3"/>
    <w:rsid w:val="001F7379"/>
    <w:rsid w:val="002005DE"/>
    <w:rsid w:val="00201BF3"/>
    <w:rsid w:val="00201F45"/>
    <w:rsid w:val="002100A5"/>
    <w:rsid w:val="002104B2"/>
    <w:rsid w:val="0021132F"/>
    <w:rsid w:val="002127FA"/>
    <w:rsid w:val="0021290C"/>
    <w:rsid w:val="00213897"/>
    <w:rsid w:val="00214324"/>
    <w:rsid w:val="0021596A"/>
    <w:rsid w:val="0021616A"/>
    <w:rsid w:val="0021628C"/>
    <w:rsid w:val="00217053"/>
    <w:rsid w:val="00217C19"/>
    <w:rsid w:val="00220157"/>
    <w:rsid w:val="002260B4"/>
    <w:rsid w:val="00226AE1"/>
    <w:rsid w:val="00227CB6"/>
    <w:rsid w:val="00227DD0"/>
    <w:rsid w:val="00230365"/>
    <w:rsid w:val="00230BEA"/>
    <w:rsid w:val="00231464"/>
    <w:rsid w:val="00233680"/>
    <w:rsid w:val="00233C21"/>
    <w:rsid w:val="0023535B"/>
    <w:rsid w:val="002354F0"/>
    <w:rsid w:val="002356E4"/>
    <w:rsid w:val="00240D7B"/>
    <w:rsid w:val="002415ED"/>
    <w:rsid w:val="00241951"/>
    <w:rsid w:val="0024259E"/>
    <w:rsid w:val="00243DB3"/>
    <w:rsid w:val="00244CC5"/>
    <w:rsid w:val="00246419"/>
    <w:rsid w:val="00246631"/>
    <w:rsid w:val="00247DAB"/>
    <w:rsid w:val="00250370"/>
    <w:rsid w:val="00250C83"/>
    <w:rsid w:val="00251EF2"/>
    <w:rsid w:val="0025247C"/>
    <w:rsid w:val="00253421"/>
    <w:rsid w:val="0025362E"/>
    <w:rsid w:val="00255535"/>
    <w:rsid w:val="00256FB1"/>
    <w:rsid w:val="00260697"/>
    <w:rsid w:val="00260CC3"/>
    <w:rsid w:val="00260FC9"/>
    <w:rsid w:val="00261A7E"/>
    <w:rsid w:val="00261E2B"/>
    <w:rsid w:val="00262958"/>
    <w:rsid w:val="002667F1"/>
    <w:rsid w:val="00270BFC"/>
    <w:rsid w:val="00272608"/>
    <w:rsid w:val="00273E21"/>
    <w:rsid w:val="00274CD9"/>
    <w:rsid w:val="002750A7"/>
    <w:rsid w:val="002824F7"/>
    <w:rsid w:val="00282EFF"/>
    <w:rsid w:val="002832D0"/>
    <w:rsid w:val="00285257"/>
    <w:rsid w:val="002867F0"/>
    <w:rsid w:val="00286976"/>
    <w:rsid w:val="00286BE7"/>
    <w:rsid w:val="00287323"/>
    <w:rsid w:val="00287D7F"/>
    <w:rsid w:val="00291F68"/>
    <w:rsid w:val="0029321C"/>
    <w:rsid w:val="00293A89"/>
    <w:rsid w:val="00293BA3"/>
    <w:rsid w:val="0029493F"/>
    <w:rsid w:val="0029659E"/>
    <w:rsid w:val="00297385"/>
    <w:rsid w:val="002A1814"/>
    <w:rsid w:val="002A2AD7"/>
    <w:rsid w:val="002A3191"/>
    <w:rsid w:val="002A3381"/>
    <w:rsid w:val="002A3637"/>
    <w:rsid w:val="002B135A"/>
    <w:rsid w:val="002B3184"/>
    <w:rsid w:val="002B3F1C"/>
    <w:rsid w:val="002B40C2"/>
    <w:rsid w:val="002B5913"/>
    <w:rsid w:val="002B60E0"/>
    <w:rsid w:val="002B7558"/>
    <w:rsid w:val="002C2CCD"/>
    <w:rsid w:val="002C46CD"/>
    <w:rsid w:val="002C54A9"/>
    <w:rsid w:val="002C5CA2"/>
    <w:rsid w:val="002C6DFF"/>
    <w:rsid w:val="002C715C"/>
    <w:rsid w:val="002C79D5"/>
    <w:rsid w:val="002C7F47"/>
    <w:rsid w:val="002D06B6"/>
    <w:rsid w:val="002D160D"/>
    <w:rsid w:val="002D16EA"/>
    <w:rsid w:val="002D201A"/>
    <w:rsid w:val="002D31F9"/>
    <w:rsid w:val="002D3C42"/>
    <w:rsid w:val="002D3FFC"/>
    <w:rsid w:val="002D40FF"/>
    <w:rsid w:val="002D4ECD"/>
    <w:rsid w:val="002D564C"/>
    <w:rsid w:val="002D6357"/>
    <w:rsid w:val="002E117F"/>
    <w:rsid w:val="002E387E"/>
    <w:rsid w:val="002E3B7F"/>
    <w:rsid w:val="002E4B66"/>
    <w:rsid w:val="002E61AD"/>
    <w:rsid w:val="002E6643"/>
    <w:rsid w:val="002E68FC"/>
    <w:rsid w:val="002F0B27"/>
    <w:rsid w:val="002F1D8D"/>
    <w:rsid w:val="002F392D"/>
    <w:rsid w:val="002F4190"/>
    <w:rsid w:val="002F6AD0"/>
    <w:rsid w:val="002F7E35"/>
    <w:rsid w:val="003014CE"/>
    <w:rsid w:val="003018AA"/>
    <w:rsid w:val="00302308"/>
    <w:rsid w:val="00306615"/>
    <w:rsid w:val="00306798"/>
    <w:rsid w:val="00306C97"/>
    <w:rsid w:val="0030745F"/>
    <w:rsid w:val="003079B7"/>
    <w:rsid w:val="00310460"/>
    <w:rsid w:val="0031079C"/>
    <w:rsid w:val="00310FBA"/>
    <w:rsid w:val="00314205"/>
    <w:rsid w:val="00314A85"/>
    <w:rsid w:val="00314F79"/>
    <w:rsid w:val="0031559E"/>
    <w:rsid w:val="003171EE"/>
    <w:rsid w:val="00317293"/>
    <w:rsid w:val="003179AD"/>
    <w:rsid w:val="00321A7A"/>
    <w:rsid w:val="00321F34"/>
    <w:rsid w:val="00322E5A"/>
    <w:rsid w:val="00322EA3"/>
    <w:rsid w:val="00323D56"/>
    <w:rsid w:val="00324E9E"/>
    <w:rsid w:val="003252CE"/>
    <w:rsid w:val="003253F3"/>
    <w:rsid w:val="00325B18"/>
    <w:rsid w:val="00325C92"/>
    <w:rsid w:val="003270AB"/>
    <w:rsid w:val="003274CF"/>
    <w:rsid w:val="00327792"/>
    <w:rsid w:val="00327D82"/>
    <w:rsid w:val="00327E17"/>
    <w:rsid w:val="00331175"/>
    <w:rsid w:val="00331F46"/>
    <w:rsid w:val="00331F5D"/>
    <w:rsid w:val="00332C38"/>
    <w:rsid w:val="003361C0"/>
    <w:rsid w:val="0033643A"/>
    <w:rsid w:val="00336F53"/>
    <w:rsid w:val="003414F7"/>
    <w:rsid w:val="00342E33"/>
    <w:rsid w:val="003439C3"/>
    <w:rsid w:val="00344CC2"/>
    <w:rsid w:val="003465D3"/>
    <w:rsid w:val="003467BF"/>
    <w:rsid w:val="00347DE0"/>
    <w:rsid w:val="0035051B"/>
    <w:rsid w:val="003516C8"/>
    <w:rsid w:val="00351756"/>
    <w:rsid w:val="00351A54"/>
    <w:rsid w:val="00351BEA"/>
    <w:rsid w:val="00352094"/>
    <w:rsid w:val="00353AF2"/>
    <w:rsid w:val="00353F55"/>
    <w:rsid w:val="00353FAF"/>
    <w:rsid w:val="00354B2A"/>
    <w:rsid w:val="00356163"/>
    <w:rsid w:val="00356761"/>
    <w:rsid w:val="003575DB"/>
    <w:rsid w:val="00360C1C"/>
    <w:rsid w:val="00360C77"/>
    <w:rsid w:val="00362C2D"/>
    <w:rsid w:val="00363A08"/>
    <w:rsid w:val="003653BB"/>
    <w:rsid w:val="00365F20"/>
    <w:rsid w:val="00366328"/>
    <w:rsid w:val="003665B0"/>
    <w:rsid w:val="00366670"/>
    <w:rsid w:val="00367979"/>
    <w:rsid w:val="00367B7D"/>
    <w:rsid w:val="00371380"/>
    <w:rsid w:val="00372156"/>
    <w:rsid w:val="00372723"/>
    <w:rsid w:val="00373735"/>
    <w:rsid w:val="00374371"/>
    <w:rsid w:val="003755FB"/>
    <w:rsid w:val="00375708"/>
    <w:rsid w:val="0037577C"/>
    <w:rsid w:val="0037690D"/>
    <w:rsid w:val="0037723D"/>
    <w:rsid w:val="00377A9F"/>
    <w:rsid w:val="003800EF"/>
    <w:rsid w:val="003819AD"/>
    <w:rsid w:val="0038250A"/>
    <w:rsid w:val="0038403D"/>
    <w:rsid w:val="00384296"/>
    <w:rsid w:val="00384BDF"/>
    <w:rsid w:val="00385390"/>
    <w:rsid w:val="0038544B"/>
    <w:rsid w:val="00385502"/>
    <w:rsid w:val="00386A96"/>
    <w:rsid w:val="00386F1E"/>
    <w:rsid w:val="0038785C"/>
    <w:rsid w:val="00387EBF"/>
    <w:rsid w:val="00390048"/>
    <w:rsid w:val="0039030A"/>
    <w:rsid w:val="00390508"/>
    <w:rsid w:val="00390C8D"/>
    <w:rsid w:val="003912B0"/>
    <w:rsid w:val="003918CB"/>
    <w:rsid w:val="003921DF"/>
    <w:rsid w:val="00392938"/>
    <w:rsid w:val="00393016"/>
    <w:rsid w:val="0039380C"/>
    <w:rsid w:val="00394092"/>
    <w:rsid w:val="00394605"/>
    <w:rsid w:val="00394B4F"/>
    <w:rsid w:val="003958FA"/>
    <w:rsid w:val="00396BF8"/>
    <w:rsid w:val="003975E7"/>
    <w:rsid w:val="00397BC3"/>
    <w:rsid w:val="00397BDF"/>
    <w:rsid w:val="003A0182"/>
    <w:rsid w:val="003A104E"/>
    <w:rsid w:val="003A1640"/>
    <w:rsid w:val="003A1AC5"/>
    <w:rsid w:val="003A1D4E"/>
    <w:rsid w:val="003A2253"/>
    <w:rsid w:val="003A2FB7"/>
    <w:rsid w:val="003A49E6"/>
    <w:rsid w:val="003A5D24"/>
    <w:rsid w:val="003B30E9"/>
    <w:rsid w:val="003B481E"/>
    <w:rsid w:val="003B5C17"/>
    <w:rsid w:val="003B5C7C"/>
    <w:rsid w:val="003B6F80"/>
    <w:rsid w:val="003C061A"/>
    <w:rsid w:val="003C1BC5"/>
    <w:rsid w:val="003C1CBC"/>
    <w:rsid w:val="003C26E6"/>
    <w:rsid w:val="003C2D37"/>
    <w:rsid w:val="003C2D9D"/>
    <w:rsid w:val="003C30E1"/>
    <w:rsid w:val="003C3140"/>
    <w:rsid w:val="003C3302"/>
    <w:rsid w:val="003C3438"/>
    <w:rsid w:val="003C5C58"/>
    <w:rsid w:val="003D0A27"/>
    <w:rsid w:val="003D0CE1"/>
    <w:rsid w:val="003D174E"/>
    <w:rsid w:val="003D18C4"/>
    <w:rsid w:val="003D4482"/>
    <w:rsid w:val="003D47AD"/>
    <w:rsid w:val="003D546E"/>
    <w:rsid w:val="003D571F"/>
    <w:rsid w:val="003D602B"/>
    <w:rsid w:val="003D638F"/>
    <w:rsid w:val="003D6AB5"/>
    <w:rsid w:val="003D748D"/>
    <w:rsid w:val="003D7565"/>
    <w:rsid w:val="003E0DDB"/>
    <w:rsid w:val="003E2276"/>
    <w:rsid w:val="003E33A6"/>
    <w:rsid w:val="003E4EAA"/>
    <w:rsid w:val="003E505E"/>
    <w:rsid w:val="003E58B9"/>
    <w:rsid w:val="003E6448"/>
    <w:rsid w:val="003E693B"/>
    <w:rsid w:val="003E6E9B"/>
    <w:rsid w:val="003E7243"/>
    <w:rsid w:val="003E72FA"/>
    <w:rsid w:val="003E74D6"/>
    <w:rsid w:val="003F07D0"/>
    <w:rsid w:val="003F163C"/>
    <w:rsid w:val="003F2FD7"/>
    <w:rsid w:val="003F54C8"/>
    <w:rsid w:val="003F5D5D"/>
    <w:rsid w:val="003F60BD"/>
    <w:rsid w:val="003F6B27"/>
    <w:rsid w:val="004013E8"/>
    <w:rsid w:val="0040204C"/>
    <w:rsid w:val="004025BD"/>
    <w:rsid w:val="00403BEC"/>
    <w:rsid w:val="004064DA"/>
    <w:rsid w:val="00406EB7"/>
    <w:rsid w:val="0040771B"/>
    <w:rsid w:val="0041031C"/>
    <w:rsid w:val="00411330"/>
    <w:rsid w:val="00411452"/>
    <w:rsid w:val="00412936"/>
    <w:rsid w:val="00413564"/>
    <w:rsid w:val="00414EA5"/>
    <w:rsid w:val="004166CD"/>
    <w:rsid w:val="004177CF"/>
    <w:rsid w:val="00417829"/>
    <w:rsid w:val="00417D8B"/>
    <w:rsid w:val="00421358"/>
    <w:rsid w:val="00421740"/>
    <w:rsid w:val="00421C89"/>
    <w:rsid w:val="0042205F"/>
    <w:rsid w:val="00422F86"/>
    <w:rsid w:val="00423071"/>
    <w:rsid w:val="0042333B"/>
    <w:rsid w:val="00423EB9"/>
    <w:rsid w:val="00424D23"/>
    <w:rsid w:val="00424F78"/>
    <w:rsid w:val="004254DF"/>
    <w:rsid w:val="004261E0"/>
    <w:rsid w:val="00430262"/>
    <w:rsid w:val="00430926"/>
    <w:rsid w:val="00432F9B"/>
    <w:rsid w:val="0043322C"/>
    <w:rsid w:val="00434243"/>
    <w:rsid w:val="00434683"/>
    <w:rsid w:val="00435AD6"/>
    <w:rsid w:val="00436C58"/>
    <w:rsid w:val="00436F6C"/>
    <w:rsid w:val="00437DAA"/>
    <w:rsid w:val="00440693"/>
    <w:rsid w:val="00440771"/>
    <w:rsid w:val="00441174"/>
    <w:rsid w:val="00442768"/>
    <w:rsid w:val="004438F4"/>
    <w:rsid w:val="00444427"/>
    <w:rsid w:val="00445362"/>
    <w:rsid w:val="004472E5"/>
    <w:rsid w:val="004475C9"/>
    <w:rsid w:val="004517BC"/>
    <w:rsid w:val="004534E2"/>
    <w:rsid w:val="0045368F"/>
    <w:rsid w:val="004537DC"/>
    <w:rsid w:val="00453943"/>
    <w:rsid w:val="00454282"/>
    <w:rsid w:val="00454571"/>
    <w:rsid w:val="0045461B"/>
    <w:rsid w:val="00454B28"/>
    <w:rsid w:val="00454B73"/>
    <w:rsid w:val="004603BF"/>
    <w:rsid w:val="0046282B"/>
    <w:rsid w:val="00462DFA"/>
    <w:rsid w:val="00463624"/>
    <w:rsid w:val="00463AB6"/>
    <w:rsid w:val="004640C5"/>
    <w:rsid w:val="00464407"/>
    <w:rsid w:val="004648CC"/>
    <w:rsid w:val="004649C2"/>
    <w:rsid w:val="00464A8C"/>
    <w:rsid w:val="00465A06"/>
    <w:rsid w:val="00465AD0"/>
    <w:rsid w:val="0046606B"/>
    <w:rsid w:val="004715F2"/>
    <w:rsid w:val="00471725"/>
    <w:rsid w:val="004747F4"/>
    <w:rsid w:val="0047608F"/>
    <w:rsid w:val="0047627F"/>
    <w:rsid w:val="00476554"/>
    <w:rsid w:val="00476BFC"/>
    <w:rsid w:val="00477D28"/>
    <w:rsid w:val="00480185"/>
    <w:rsid w:val="00480882"/>
    <w:rsid w:val="00482649"/>
    <w:rsid w:val="00483B95"/>
    <w:rsid w:val="00484FA6"/>
    <w:rsid w:val="00485B01"/>
    <w:rsid w:val="00485DC0"/>
    <w:rsid w:val="00486BC7"/>
    <w:rsid w:val="00486CBB"/>
    <w:rsid w:val="00487870"/>
    <w:rsid w:val="004912DF"/>
    <w:rsid w:val="0049157F"/>
    <w:rsid w:val="004919C1"/>
    <w:rsid w:val="00491D91"/>
    <w:rsid w:val="00491F48"/>
    <w:rsid w:val="00493006"/>
    <w:rsid w:val="004933B3"/>
    <w:rsid w:val="00495357"/>
    <w:rsid w:val="0049552F"/>
    <w:rsid w:val="00495EA8"/>
    <w:rsid w:val="00497883"/>
    <w:rsid w:val="004A085D"/>
    <w:rsid w:val="004A093D"/>
    <w:rsid w:val="004A16BE"/>
    <w:rsid w:val="004A2E4E"/>
    <w:rsid w:val="004A2F9F"/>
    <w:rsid w:val="004A3CDD"/>
    <w:rsid w:val="004A4DEB"/>
    <w:rsid w:val="004A57D4"/>
    <w:rsid w:val="004B19A9"/>
    <w:rsid w:val="004B211C"/>
    <w:rsid w:val="004B2A16"/>
    <w:rsid w:val="004B484D"/>
    <w:rsid w:val="004B667D"/>
    <w:rsid w:val="004C155F"/>
    <w:rsid w:val="004C1CD2"/>
    <w:rsid w:val="004C533A"/>
    <w:rsid w:val="004D1CC1"/>
    <w:rsid w:val="004D207C"/>
    <w:rsid w:val="004D2793"/>
    <w:rsid w:val="004D44AD"/>
    <w:rsid w:val="004D50EB"/>
    <w:rsid w:val="004D5664"/>
    <w:rsid w:val="004D5ADB"/>
    <w:rsid w:val="004D623E"/>
    <w:rsid w:val="004D7103"/>
    <w:rsid w:val="004D7F52"/>
    <w:rsid w:val="004E030A"/>
    <w:rsid w:val="004E0D67"/>
    <w:rsid w:val="004E3268"/>
    <w:rsid w:val="004E387E"/>
    <w:rsid w:val="004E442F"/>
    <w:rsid w:val="004E45E6"/>
    <w:rsid w:val="004E66A4"/>
    <w:rsid w:val="004E678B"/>
    <w:rsid w:val="004F04D9"/>
    <w:rsid w:val="004F05C7"/>
    <w:rsid w:val="004F1919"/>
    <w:rsid w:val="004F22DA"/>
    <w:rsid w:val="004F5552"/>
    <w:rsid w:val="004F5A1E"/>
    <w:rsid w:val="004F6D76"/>
    <w:rsid w:val="004F6FBB"/>
    <w:rsid w:val="00500769"/>
    <w:rsid w:val="00500B07"/>
    <w:rsid w:val="00501D74"/>
    <w:rsid w:val="00503DFC"/>
    <w:rsid w:val="00504834"/>
    <w:rsid w:val="00505AEE"/>
    <w:rsid w:val="0050632E"/>
    <w:rsid w:val="005076C2"/>
    <w:rsid w:val="005077C8"/>
    <w:rsid w:val="00507B63"/>
    <w:rsid w:val="005105AC"/>
    <w:rsid w:val="005106B9"/>
    <w:rsid w:val="00510A1A"/>
    <w:rsid w:val="00511030"/>
    <w:rsid w:val="00511AE2"/>
    <w:rsid w:val="00512007"/>
    <w:rsid w:val="00512D4E"/>
    <w:rsid w:val="00513354"/>
    <w:rsid w:val="00514507"/>
    <w:rsid w:val="005151B7"/>
    <w:rsid w:val="005158A0"/>
    <w:rsid w:val="00515C2E"/>
    <w:rsid w:val="00516791"/>
    <w:rsid w:val="0051722E"/>
    <w:rsid w:val="00517B9C"/>
    <w:rsid w:val="00520015"/>
    <w:rsid w:val="0052113D"/>
    <w:rsid w:val="00522218"/>
    <w:rsid w:val="00525400"/>
    <w:rsid w:val="0052582B"/>
    <w:rsid w:val="00525B7C"/>
    <w:rsid w:val="00525C93"/>
    <w:rsid w:val="00530774"/>
    <w:rsid w:val="005312B8"/>
    <w:rsid w:val="0053196D"/>
    <w:rsid w:val="0053197D"/>
    <w:rsid w:val="005322F9"/>
    <w:rsid w:val="00532D5C"/>
    <w:rsid w:val="00533647"/>
    <w:rsid w:val="005346B9"/>
    <w:rsid w:val="0053497E"/>
    <w:rsid w:val="00535E7E"/>
    <w:rsid w:val="00536011"/>
    <w:rsid w:val="005374EE"/>
    <w:rsid w:val="00540830"/>
    <w:rsid w:val="0054174C"/>
    <w:rsid w:val="0054205C"/>
    <w:rsid w:val="00542DF2"/>
    <w:rsid w:val="0054324A"/>
    <w:rsid w:val="005436A6"/>
    <w:rsid w:val="00543B63"/>
    <w:rsid w:val="00543D20"/>
    <w:rsid w:val="00544AE6"/>
    <w:rsid w:val="00544B9A"/>
    <w:rsid w:val="00547659"/>
    <w:rsid w:val="00550025"/>
    <w:rsid w:val="005507B5"/>
    <w:rsid w:val="005509BB"/>
    <w:rsid w:val="00551FEB"/>
    <w:rsid w:val="005528BA"/>
    <w:rsid w:val="00552F5E"/>
    <w:rsid w:val="005532F9"/>
    <w:rsid w:val="00553E14"/>
    <w:rsid w:val="00553FBD"/>
    <w:rsid w:val="0055440B"/>
    <w:rsid w:val="0055505E"/>
    <w:rsid w:val="00555263"/>
    <w:rsid w:val="005566C1"/>
    <w:rsid w:val="0055708D"/>
    <w:rsid w:val="00560403"/>
    <w:rsid w:val="005605EF"/>
    <w:rsid w:val="00560F55"/>
    <w:rsid w:val="005615ED"/>
    <w:rsid w:val="00561CA6"/>
    <w:rsid w:val="005640F0"/>
    <w:rsid w:val="0056717C"/>
    <w:rsid w:val="00570386"/>
    <w:rsid w:val="00570FF7"/>
    <w:rsid w:val="0057210D"/>
    <w:rsid w:val="005741B9"/>
    <w:rsid w:val="00575E74"/>
    <w:rsid w:val="005768FF"/>
    <w:rsid w:val="00576E82"/>
    <w:rsid w:val="00577A49"/>
    <w:rsid w:val="0058063A"/>
    <w:rsid w:val="00580D90"/>
    <w:rsid w:val="0058140C"/>
    <w:rsid w:val="00581D51"/>
    <w:rsid w:val="00581F87"/>
    <w:rsid w:val="005826DC"/>
    <w:rsid w:val="005838C4"/>
    <w:rsid w:val="00583978"/>
    <w:rsid w:val="00584085"/>
    <w:rsid w:val="005843D4"/>
    <w:rsid w:val="0058483F"/>
    <w:rsid w:val="00585064"/>
    <w:rsid w:val="00590A04"/>
    <w:rsid w:val="00590C17"/>
    <w:rsid w:val="00591237"/>
    <w:rsid w:val="00591F16"/>
    <w:rsid w:val="005920B7"/>
    <w:rsid w:val="005933F8"/>
    <w:rsid w:val="00594E34"/>
    <w:rsid w:val="00595A15"/>
    <w:rsid w:val="00596A0B"/>
    <w:rsid w:val="00596E05"/>
    <w:rsid w:val="005970FA"/>
    <w:rsid w:val="00597F3C"/>
    <w:rsid w:val="005A0405"/>
    <w:rsid w:val="005A0AF7"/>
    <w:rsid w:val="005A1E0A"/>
    <w:rsid w:val="005A1EEC"/>
    <w:rsid w:val="005A2298"/>
    <w:rsid w:val="005A2DB4"/>
    <w:rsid w:val="005A46F3"/>
    <w:rsid w:val="005A55C5"/>
    <w:rsid w:val="005A5F7D"/>
    <w:rsid w:val="005A6542"/>
    <w:rsid w:val="005A69BD"/>
    <w:rsid w:val="005A7C22"/>
    <w:rsid w:val="005B0874"/>
    <w:rsid w:val="005B109A"/>
    <w:rsid w:val="005B1144"/>
    <w:rsid w:val="005B413D"/>
    <w:rsid w:val="005B4C03"/>
    <w:rsid w:val="005B4CE3"/>
    <w:rsid w:val="005B4E52"/>
    <w:rsid w:val="005B4FC2"/>
    <w:rsid w:val="005B529F"/>
    <w:rsid w:val="005B63A5"/>
    <w:rsid w:val="005B66E2"/>
    <w:rsid w:val="005B7588"/>
    <w:rsid w:val="005C0B68"/>
    <w:rsid w:val="005C4296"/>
    <w:rsid w:val="005C42A9"/>
    <w:rsid w:val="005C4DA9"/>
    <w:rsid w:val="005C5196"/>
    <w:rsid w:val="005C532B"/>
    <w:rsid w:val="005C5BFF"/>
    <w:rsid w:val="005C7540"/>
    <w:rsid w:val="005C7B71"/>
    <w:rsid w:val="005C7BA5"/>
    <w:rsid w:val="005D0555"/>
    <w:rsid w:val="005D0885"/>
    <w:rsid w:val="005D08FE"/>
    <w:rsid w:val="005D0987"/>
    <w:rsid w:val="005D1420"/>
    <w:rsid w:val="005D1DB1"/>
    <w:rsid w:val="005D205D"/>
    <w:rsid w:val="005D2C75"/>
    <w:rsid w:val="005D3A98"/>
    <w:rsid w:val="005D50EB"/>
    <w:rsid w:val="005D5B5C"/>
    <w:rsid w:val="005E1DC7"/>
    <w:rsid w:val="005E2B3D"/>
    <w:rsid w:val="005E2CA8"/>
    <w:rsid w:val="005E4AC2"/>
    <w:rsid w:val="005E4C3B"/>
    <w:rsid w:val="005E64B8"/>
    <w:rsid w:val="005E6960"/>
    <w:rsid w:val="005E71E7"/>
    <w:rsid w:val="005E7929"/>
    <w:rsid w:val="005F0971"/>
    <w:rsid w:val="005F10A1"/>
    <w:rsid w:val="005F1523"/>
    <w:rsid w:val="005F289F"/>
    <w:rsid w:val="005F2F55"/>
    <w:rsid w:val="005F61B8"/>
    <w:rsid w:val="005F6AE1"/>
    <w:rsid w:val="00602AE0"/>
    <w:rsid w:val="00603213"/>
    <w:rsid w:val="00603340"/>
    <w:rsid w:val="006042B6"/>
    <w:rsid w:val="006052F6"/>
    <w:rsid w:val="00605482"/>
    <w:rsid w:val="00606128"/>
    <w:rsid w:val="006075B0"/>
    <w:rsid w:val="00607880"/>
    <w:rsid w:val="0060795D"/>
    <w:rsid w:val="0061075A"/>
    <w:rsid w:val="0061111F"/>
    <w:rsid w:val="006146C4"/>
    <w:rsid w:val="00614B4F"/>
    <w:rsid w:val="0061599D"/>
    <w:rsid w:val="006160A5"/>
    <w:rsid w:val="00616477"/>
    <w:rsid w:val="00617518"/>
    <w:rsid w:val="00617EF0"/>
    <w:rsid w:val="006200D8"/>
    <w:rsid w:val="006201A6"/>
    <w:rsid w:val="00620B93"/>
    <w:rsid w:val="00621738"/>
    <w:rsid w:val="00621EE0"/>
    <w:rsid w:val="00621FF3"/>
    <w:rsid w:val="006225A1"/>
    <w:rsid w:val="00623484"/>
    <w:rsid w:val="00623D6C"/>
    <w:rsid w:val="006240AD"/>
    <w:rsid w:val="00625B20"/>
    <w:rsid w:val="006260D5"/>
    <w:rsid w:val="00627C6A"/>
    <w:rsid w:val="0063161D"/>
    <w:rsid w:val="00631D0A"/>
    <w:rsid w:val="006323FA"/>
    <w:rsid w:val="00632DF1"/>
    <w:rsid w:val="00634B08"/>
    <w:rsid w:val="006351F2"/>
    <w:rsid w:val="00635326"/>
    <w:rsid w:val="00635844"/>
    <w:rsid w:val="00636760"/>
    <w:rsid w:val="00636C5A"/>
    <w:rsid w:val="00636DA6"/>
    <w:rsid w:val="00637766"/>
    <w:rsid w:val="00640A40"/>
    <w:rsid w:val="00642A78"/>
    <w:rsid w:val="0064461F"/>
    <w:rsid w:val="0064632B"/>
    <w:rsid w:val="00646CE3"/>
    <w:rsid w:val="0064797E"/>
    <w:rsid w:val="00647AA3"/>
    <w:rsid w:val="00650759"/>
    <w:rsid w:val="00650A6D"/>
    <w:rsid w:val="00651D1F"/>
    <w:rsid w:val="00652429"/>
    <w:rsid w:val="00652AAD"/>
    <w:rsid w:val="00654036"/>
    <w:rsid w:val="00654E90"/>
    <w:rsid w:val="00655DBD"/>
    <w:rsid w:val="006573A1"/>
    <w:rsid w:val="00657D04"/>
    <w:rsid w:val="006619A7"/>
    <w:rsid w:val="00661B0E"/>
    <w:rsid w:val="00661C0F"/>
    <w:rsid w:val="00665246"/>
    <w:rsid w:val="00667093"/>
    <w:rsid w:val="0066715A"/>
    <w:rsid w:val="006678DC"/>
    <w:rsid w:val="006703B1"/>
    <w:rsid w:val="00670C51"/>
    <w:rsid w:val="00670E8E"/>
    <w:rsid w:val="00671E38"/>
    <w:rsid w:val="00671E60"/>
    <w:rsid w:val="006730D4"/>
    <w:rsid w:val="006735FA"/>
    <w:rsid w:val="006745B4"/>
    <w:rsid w:val="00675C08"/>
    <w:rsid w:val="006762FD"/>
    <w:rsid w:val="00681EA3"/>
    <w:rsid w:val="00683763"/>
    <w:rsid w:val="00690DB8"/>
    <w:rsid w:val="0069196A"/>
    <w:rsid w:val="00691BDA"/>
    <w:rsid w:val="00694144"/>
    <w:rsid w:val="006949BA"/>
    <w:rsid w:val="00695B97"/>
    <w:rsid w:val="00696B5D"/>
    <w:rsid w:val="0069730A"/>
    <w:rsid w:val="006A0D2A"/>
    <w:rsid w:val="006A1766"/>
    <w:rsid w:val="006A54BB"/>
    <w:rsid w:val="006A6019"/>
    <w:rsid w:val="006B09BB"/>
    <w:rsid w:val="006B2D6A"/>
    <w:rsid w:val="006B48A4"/>
    <w:rsid w:val="006B4BF8"/>
    <w:rsid w:val="006B55AC"/>
    <w:rsid w:val="006B6302"/>
    <w:rsid w:val="006B79AA"/>
    <w:rsid w:val="006C0276"/>
    <w:rsid w:val="006C0CD7"/>
    <w:rsid w:val="006C20C2"/>
    <w:rsid w:val="006C3030"/>
    <w:rsid w:val="006C3886"/>
    <w:rsid w:val="006C3FEA"/>
    <w:rsid w:val="006C494A"/>
    <w:rsid w:val="006C4E01"/>
    <w:rsid w:val="006C52FF"/>
    <w:rsid w:val="006C6CE7"/>
    <w:rsid w:val="006C6DA4"/>
    <w:rsid w:val="006D0790"/>
    <w:rsid w:val="006D09DD"/>
    <w:rsid w:val="006D28D3"/>
    <w:rsid w:val="006D34C4"/>
    <w:rsid w:val="006D428A"/>
    <w:rsid w:val="006D429A"/>
    <w:rsid w:val="006D52B0"/>
    <w:rsid w:val="006D59B0"/>
    <w:rsid w:val="006D6B3E"/>
    <w:rsid w:val="006E01E9"/>
    <w:rsid w:val="006E0223"/>
    <w:rsid w:val="006E0381"/>
    <w:rsid w:val="006E0528"/>
    <w:rsid w:val="006E08FF"/>
    <w:rsid w:val="006E2681"/>
    <w:rsid w:val="006E2EDA"/>
    <w:rsid w:val="006E391C"/>
    <w:rsid w:val="006E397C"/>
    <w:rsid w:val="006E4B25"/>
    <w:rsid w:val="006E5A70"/>
    <w:rsid w:val="006E7624"/>
    <w:rsid w:val="006E7970"/>
    <w:rsid w:val="006E7F86"/>
    <w:rsid w:val="006F0C78"/>
    <w:rsid w:val="006F10B1"/>
    <w:rsid w:val="006F1549"/>
    <w:rsid w:val="006F23DC"/>
    <w:rsid w:val="006F240A"/>
    <w:rsid w:val="006F2B1B"/>
    <w:rsid w:val="006F3129"/>
    <w:rsid w:val="006F4132"/>
    <w:rsid w:val="006F4B78"/>
    <w:rsid w:val="006F62BC"/>
    <w:rsid w:val="006F68A2"/>
    <w:rsid w:val="006F7850"/>
    <w:rsid w:val="00701D13"/>
    <w:rsid w:val="007021AD"/>
    <w:rsid w:val="00702450"/>
    <w:rsid w:val="007040E9"/>
    <w:rsid w:val="00704C37"/>
    <w:rsid w:val="007059A7"/>
    <w:rsid w:val="007063D4"/>
    <w:rsid w:val="0070705E"/>
    <w:rsid w:val="00713216"/>
    <w:rsid w:val="00713369"/>
    <w:rsid w:val="007156AC"/>
    <w:rsid w:val="00716AEF"/>
    <w:rsid w:val="00717282"/>
    <w:rsid w:val="00717ABD"/>
    <w:rsid w:val="00717ACE"/>
    <w:rsid w:val="00720949"/>
    <w:rsid w:val="00721561"/>
    <w:rsid w:val="00721752"/>
    <w:rsid w:val="00722B3B"/>
    <w:rsid w:val="00722CF0"/>
    <w:rsid w:val="00725F2C"/>
    <w:rsid w:val="00727037"/>
    <w:rsid w:val="00727370"/>
    <w:rsid w:val="00730127"/>
    <w:rsid w:val="00731D93"/>
    <w:rsid w:val="00731FF7"/>
    <w:rsid w:val="0073238B"/>
    <w:rsid w:val="007359B7"/>
    <w:rsid w:val="00735E25"/>
    <w:rsid w:val="00742972"/>
    <w:rsid w:val="00742D65"/>
    <w:rsid w:val="007452B2"/>
    <w:rsid w:val="007455B5"/>
    <w:rsid w:val="00747C9D"/>
    <w:rsid w:val="00750BFC"/>
    <w:rsid w:val="007510F9"/>
    <w:rsid w:val="00751C0F"/>
    <w:rsid w:val="00752036"/>
    <w:rsid w:val="00752315"/>
    <w:rsid w:val="00753610"/>
    <w:rsid w:val="007543B0"/>
    <w:rsid w:val="0075555B"/>
    <w:rsid w:val="007568A9"/>
    <w:rsid w:val="00760563"/>
    <w:rsid w:val="00760FE5"/>
    <w:rsid w:val="007616BB"/>
    <w:rsid w:val="007620C5"/>
    <w:rsid w:val="0076246E"/>
    <w:rsid w:val="00763213"/>
    <w:rsid w:val="00764BDC"/>
    <w:rsid w:val="00767B6E"/>
    <w:rsid w:val="007710AF"/>
    <w:rsid w:val="00771AC3"/>
    <w:rsid w:val="007724D2"/>
    <w:rsid w:val="00773A6E"/>
    <w:rsid w:val="007742BE"/>
    <w:rsid w:val="00774849"/>
    <w:rsid w:val="00774F82"/>
    <w:rsid w:val="0077639A"/>
    <w:rsid w:val="0078100C"/>
    <w:rsid w:val="0078121D"/>
    <w:rsid w:val="00781444"/>
    <w:rsid w:val="007819FC"/>
    <w:rsid w:val="00782780"/>
    <w:rsid w:val="00783A6E"/>
    <w:rsid w:val="007841DD"/>
    <w:rsid w:val="007854E6"/>
    <w:rsid w:val="00785D2D"/>
    <w:rsid w:val="0078772C"/>
    <w:rsid w:val="007878E4"/>
    <w:rsid w:val="007908F2"/>
    <w:rsid w:val="00790D65"/>
    <w:rsid w:val="00791408"/>
    <w:rsid w:val="00794908"/>
    <w:rsid w:val="00796B5E"/>
    <w:rsid w:val="007A0AEE"/>
    <w:rsid w:val="007A148E"/>
    <w:rsid w:val="007A1EBF"/>
    <w:rsid w:val="007A1FCB"/>
    <w:rsid w:val="007A203D"/>
    <w:rsid w:val="007A232D"/>
    <w:rsid w:val="007A2DD5"/>
    <w:rsid w:val="007A4272"/>
    <w:rsid w:val="007A47D5"/>
    <w:rsid w:val="007A4BA6"/>
    <w:rsid w:val="007A5191"/>
    <w:rsid w:val="007A6991"/>
    <w:rsid w:val="007B0491"/>
    <w:rsid w:val="007B0E63"/>
    <w:rsid w:val="007B337A"/>
    <w:rsid w:val="007B3AE8"/>
    <w:rsid w:val="007B3D5C"/>
    <w:rsid w:val="007B3DFE"/>
    <w:rsid w:val="007B4131"/>
    <w:rsid w:val="007B4418"/>
    <w:rsid w:val="007B559A"/>
    <w:rsid w:val="007B7156"/>
    <w:rsid w:val="007B7460"/>
    <w:rsid w:val="007B78CB"/>
    <w:rsid w:val="007B7BE4"/>
    <w:rsid w:val="007B7F67"/>
    <w:rsid w:val="007C1822"/>
    <w:rsid w:val="007C2380"/>
    <w:rsid w:val="007C34FB"/>
    <w:rsid w:val="007C3A9E"/>
    <w:rsid w:val="007C3E82"/>
    <w:rsid w:val="007C4079"/>
    <w:rsid w:val="007C56B0"/>
    <w:rsid w:val="007D0396"/>
    <w:rsid w:val="007D24C0"/>
    <w:rsid w:val="007D314C"/>
    <w:rsid w:val="007D3AA0"/>
    <w:rsid w:val="007D3B44"/>
    <w:rsid w:val="007D3C69"/>
    <w:rsid w:val="007D4D8C"/>
    <w:rsid w:val="007D528E"/>
    <w:rsid w:val="007D57C3"/>
    <w:rsid w:val="007D5BFE"/>
    <w:rsid w:val="007D5ECF"/>
    <w:rsid w:val="007D635E"/>
    <w:rsid w:val="007D6634"/>
    <w:rsid w:val="007D697B"/>
    <w:rsid w:val="007D727B"/>
    <w:rsid w:val="007E00E1"/>
    <w:rsid w:val="007E09B1"/>
    <w:rsid w:val="007E2815"/>
    <w:rsid w:val="007E382B"/>
    <w:rsid w:val="007E6CA8"/>
    <w:rsid w:val="007E7D28"/>
    <w:rsid w:val="007F0287"/>
    <w:rsid w:val="007F241C"/>
    <w:rsid w:val="007F2487"/>
    <w:rsid w:val="007F509E"/>
    <w:rsid w:val="007F5970"/>
    <w:rsid w:val="007F5A3C"/>
    <w:rsid w:val="007F5B3A"/>
    <w:rsid w:val="007F5DE8"/>
    <w:rsid w:val="007F6349"/>
    <w:rsid w:val="007F77B6"/>
    <w:rsid w:val="00800A75"/>
    <w:rsid w:val="00801DD3"/>
    <w:rsid w:val="00801DE2"/>
    <w:rsid w:val="008034CF"/>
    <w:rsid w:val="00803AFA"/>
    <w:rsid w:val="00803EF3"/>
    <w:rsid w:val="00805CC9"/>
    <w:rsid w:val="00805EB4"/>
    <w:rsid w:val="00810603"/>
    <w:rsid w:val="00811CF2"/>
    <w:rsid w:val="0081244E"/>
    <w:rsid w:val="0081358D"/>
    <w:rsid w:val="008135EF"/>
    <w:rsid w:val="00814A67"/>
    <w:rsid w:val="00815212"/>
    <w:rsid w:val="00816DFD"/>
    <w:rsid w:val="008170BE"/>
    <w:rsid w:val="00817B83"/>
    <w:rsid w:val="00821766"/>
    <w:rsid w:val="00821938"/>
    <w:rsid w:val="00821CC0"/>
    <w:rsid w:val="00822468"/>
    <w:rsid w:val="008244C4"/>
    <w:rsid w:val="00824687"/>
    <w:rsid w:val="0082487F"/>
    <w:rsid w:val="00824A2E"/>
    <w:rsid w:val="00824AE3"/>
    <w:rsid w:val="00825447"/>
    <w:rsid w:val="00825AD8"/>
    <w:rsid w:val="0082685C"/>
    <w:rsid w:val="00827940"/>
    <w:rsid w:val="00827FBB"/>
    <w:rsid w:val="008305B8"/>
    <w:rsid w:val="008305DB"/>
    <w:rsid w:val="00831C64"/>
    <w:rsid w:val="008322B3"/>
    <w:rsid w:val="0083324D"/>
    <w:rsid w:val="008333CE"/>
    <w:rsid w:val="0083378A"/>
    <w:rsid w:val="00834DB4"/>
    <w:rsid w:val="008378E1"/>
    <w:rsid w:val="008406AC"/>
    <w:rsid w:val="00840CEB"/>
    <w:rsid w:val="00841733"/>
    <w:rsid w:val="00842227"/>
    <w:rsid w:val="008424AC"/>
    <w:rsid w:val="00845F99"/>
    <w:rsid w:val="008478A7"/>
    <w:rsid w:val="00850030"/>
    <w:rsid w:val="00850BC6"/>
    <w:rsid w:val="008513B7"/>
    <w:rsid w:val="008522F9"/>
    <w:rsid w:val="008532B9"/>
    <w:rsid w:val="008536DB"/>
    <w:rsid w:val="00853BC2"/>
    <w:rsid w:val="0085535A"/>
    <w:rsid w:val="008558C9"/>
    <w:rsid w:val="008559BB"/>
    <w:rsid w:val="0085650D"/>
    <w:rsid w:val="00856FF8"/>
    <w:rsid w:val="00857315"/>
    <w:rsid w:val="0085798E"/>
    <w:rsid w:val="008600BA"/>
    <w:rsid w:val="00860FBE"/>
    <w:rsid w:val="0086236A"/>
    <w:rsid w:val="00862D33"/>
    <w:rsid w:val="00864BB3"/>
    <w:rsid w:val="00865D6C"/>
    <w:rsid w:val="0086645E"/>
    <w:rsid w:val="0086719F"/>
    <w:rsid w:val="00867C71"/>
    <w:rsid w:val="008729A7"/>
    <w:rsid w:val="00872A9F"/>
    <w:rsid w:val="00872BC0"/>
    <w:rsid w:val="008734BC"/>
    <w:rsid w:val="008738B4"/>
    <w:rsid w:val="00875629"/>
    <w:rsid w:val="00875CEA"/>
    <w:rsid w:val="0087687F"/>
    <w:rsid w:val="00876E2C"/>
    <w:rsid w:val="00877C1A"/>
    <w:rsid w:val="00882ADC"/>
    <w:rsid w:val="00883E89"/>
    <w:rsid w:val="00883F91"/>
    <w:rsid w:val="00884EB3"/>
    <w:rsid w:val="00886591"/>
    <w:rsid w:val="00886B79"/>
    <w:rsid w:val="00891762"/>
    <w:rsid w:val="00891959"/>
    <w:rsid w:val="00892629"/>
    <w:rsid w:val="00892762"/>
    <w:rsid w:val="00893917"/>
    <w:rsid w:val="00895A98"/>
    <w:rsid w:val="008966F0"/>
    <w:rsid w:val="00896B35"/>
    <w:rsid w:val="008970E3"/>
    <w:rsid w:val="008A02BA"/>
    <w:rsid w:val="008A0DDE"/>
    <w:rsid w:val="008A28F9"/>
    <w:rsid w:val="008A5B1F"/>
    <w:rsid w:val="008A65A0"/>
    <w:rsid w:val="008B0138"/>
    <w:rsid w:val="008B0560"/>
    <w:rsid w:val="008B0783"/>
    <w:rsid w:val="008B0EB9"/>
    <w:rsid w:val="008B1DD0"/>
    <w:rsid w:val="008B1EDA"/>
    <w:rsid w:val="008B3228"/>
    <w:rsid w:val="008B39D1"/>
    <w:rsid w:val="008B493E"/>
    <w:rsid w:val="008B76A7"/>
    <w:rsid w:val="008C01E5"/>
    <w:rsid w:val="008C02CB"/>
    <w:rsid w:val="008C19F2"/>
    <w:rsid w:val="008C2472"/>
    <w:rsid w:val="008C318C"/>
    <w:rsid w:val="008C3420"/>
    <w:rsid w:val="008C78C8"/>
    <w:rsid w:val="008D0648"/>
    <w:rsid w:val="008D0905"/>
    <w:rsid w:val="008D0FD8"/>
    <w:rsid w:val="008D1187"/>
    <w:rsid w:val="008D1BB2"/>
    <w:rsid w:val="008D1FD4"/>
    <w:rsid w:val="008D2C2E"/>
    <w:rsid w:val="008D2FB6"/>
    <w:rsid w:val="008D5E8A"/>
    <w:rsid w:val="008D688D"/>
    <w:rsid w:val="008D7524"/>
    <w:rsid w:val="008D75E8"/>
    <w:rsid w:val="008E10E9"/>
    <w:rsid w:val="008E128F"/>
    <w:rsid w:val="008E4C54"/>
    <w:rsid w:val="008E5602"/>
    <w:rsid w:val="008E5D09"/>
    <w:rsid w:val="008E657A"/>
    <w:rsid w:val="008E7710"/>
    <w:rsid w:val="008E7C8E"/>
    <w:rsid w:val="008F053C"/>
    <w:rsid w:val="008F0AB6"/>
    <w:rsid w:val="008F0B1A"/>
    <w:rsid w:val="008F0E7F"/>
    <w:rsid w:val="008F250B"/>
    <w:rsid w:val="008F46B9"/>
    <w:rsid w:val="008F49C5"/>
    <w:rsid w:val="008F55E3"/>
    <w:rsid w:val="008F6DCA"/>
    <w:rsid w:val="009004D4"/>
    <w:rsid w:val="00901122"/>
    <w:rsid w:val="00901A60"/>
    <w:rsid w:val="009036A4"/>
    <w:rsid w:val="00903CA8"/>
    <w:rsid w:val="00903F34"/>
    <w:rsid w:val="00904147"/>
    <w:rsid w:val="00906519"/>
    <w:rsid w:val="009078F5"/>
    <w:rsid w:val="0091039F"/>
    <w:rsid w:val="009122A1"/>
    <w:rsid w:val="009129CC"/>
    <w:rsid w:val="009146B3"/>
    <w:rsid w:val="0091493E"/>
    <w:rsid w:val="00915D0D"/>
    <w:rsid w:val="00915EA4"/>
    <w:rsid w:val="00915FAB"/>
    <w:rsid w:val="009168D0"/>
    <w:rsid w:val="00916F96"/>
    <w:rsid w:val="009170FC"/>
    <w:rsid w:val="00917E05"/>
    <w:rsid w:val="00920080"/>
    <w:rsid w:val="009200D2"/>
    <w:rsid w:val="00920345"/>
    <w:rsid w:val="00921BB6"/>
    <w:rsid w:val="00922A66"/>
    <w:rsid w:val="00922B86"/>
    <w:rsid w:val="00922DB9"/>
    <w:rsid w:val="009245D7"/>
    <w:rsid w:val="00926AC4"/>
    <w:rsid w:val="00927547"/>
    <w:rsid w:val="00930E63"/>
    <w:rsid w:val="00931BCB"/>
    <w:rsid w:val="00932A39"/>
    <w:rsid w:val="0093300D"/>
    <w:rsid w:val="00934005"/>
    <w:rsid w:val="0093438E"/>
    <w:rsid w:val="00934A95"/>
    <w:rsid w:val="00935580"/>
    <w:rsid w:val="009358F8"/>
    <w:rsid w:val="00936368"/>
    <w:rsid w:val="00937718"/>
    <w:rsid w:val="00937B36"/>
    <w:rsid w:val="009403A0"/>
    <w:rsid w:val="00940B59"/>
    <w:rsid w:val="00942436"/>
    <w:rsid w:val="00942F2B"/>
    <w:rsid w:val="009430A5"/>
    <w:rsid w:val="009432CB"/>
    <w:rsid w:val="00943716"/>
    <w:rsid w:val="009440E8"/>
    <w:rsid w:val="009446ED"/>
    <w:rsid w:val="00946A92"/>
    <w:rsid w:val="009470C5"/>
    <w:rsid w:val="00947D67"/>
    <w:rsid w:val="00947F47"/>
    <w:rsid w:val="00950B4B"/>
    <w:rsid w:val="00951B2B"/>
    <w:rsid w:val="00951E43"/>
    <w:rsid w:val="00951F63"/>
    <w:rsid w:val="00952831"/>
    <w:rsid w:val="00952981"/>
    <w:rsid w:val="00952A3D"/>
    <w:rsid w:val="00953162"/>
    <w:rsid w:val="00954D1A"/>
    <w:rsid w:val="009552D4"/>
    <w:rsid w:val="00955D7B"/>
    <w:rsid w:val="009568B5"/>
    <w:rsid w:val="0095737F"/>
    <w:rsid w:val="00957A1D"/>
    <w:rsid w:val="00960955"/>
    <w:rsid w:val="00962B26"/>
    <w:rsid w:val="00963818"/>
    <w:rsid w:val="00964208"/>
    <w:rsid w:val="00965C10"/>
    <w:rsid w:val="00965C63"/>
    <w:rsid w:val="0096742A"/>
    <w:rsid w:val="009677C1"/>
    <w:rsid w:val="00970F81"/>
    <w:rsid w:val="0097186F"/>
    <w:rsid w:val="0097236D"/>
    <w:rsid w:val="009727EC"/>
    <w:rsid w:val="0097351D"/>
    <w:rsid w:val="00974544"/>
    <w:rsid w:val="00974CD0"/>
    <w:rsid w:val="00974DAF"/>
    <w:rsid w:val="009763AA"/>
    <w:rsid w:val="00980F0D"/>
    <w:rsid w:val="00982309"/>
    <w:rsid w:val="0098384C"/>
    <w:rsid w:val="00985537"/>
    <w:rsid w:val="00987B1B"/>
    <w:rsid w:val="0099030A"/>
    <w:rsid w:val="009907E6"/>
    <w:rsid w:val="00990C57"/>
    <w:rsid w:val="00992D1E"/>
    <w:rsid w:val="00993893"/>
    <w:rsid w:val="009949F8"/>
    <w:rsid w:val="00995505"/>
    <w:rsid w:val="00995D34"/>
    <w:rsid w:val="0099619C"/>
    <w:rsid w:val="009971EC"/>
    <w:rsid w:val="009A0168"/>
    <w:rsid w:val="009A0751"/>
    <w:rsid w:val="009A077C"/>
    <w:rsid w:val="009A0788"/>
    <w:rsid w:val="009A178B"/>
    <w:rsid w:val="009A395A"/>
    <w:rsid w:val="009A3D83"/>
    <w:rsid w:val="009A4E61"/>
    <w:rsid w:val="009A64BB"/>
    <w:rsid w:val="009A6E96"/>
    <w:rsid w:val="009A72D1"/>
    <w:rsid w:val="009B19F1"/>
    <w:rsid w:val="009B1CDC"/>
    <w:rsid w:val="009B5017"/>
    <w:rsid w:val="009B61F1"/>
    <w:rsid w:val="009B6890"/>
    <w:rsid w:val="009B6F76"/>
    <w:rsid w:val="009B7519"/>
    <w:rsid w:val="009C00AF"/>
    <w:rsid w:val="009C0A33"/>
    <w:rsid w:val="009C1107"/>
    <w:rsid w:val="009C155F"/>
    <w:rsid w:val="009C2223"/>
    <w:rsid w:val="009C35D5"/>
    <w:rsid w:val="009C419B"/>
    <w:rsid w:val="009C449E"/>
    <w:rsid w:val="009C480B"/>
    <w:rsid w:val="009C499C"/>
    <w:rsid w:val="009C5E66"/>
    <w:rsid w:val="009C5EAC"/>
    <w:rsid w:val="009C643E"/>
    <w:rsid w:val="009C75A5"/>
    <w:rsid w:val="009C7D54"/>
    <w:rsid w:val="009D021F"/>
    <w:rsid w:val="009D04EC"/>
    <w:rsid w:val="009D057B"/>
    <w:rsid w:val="009D0C82"/>
    <w:rsid w:val="009D0D86"/>
    <w:rsid w:val="009D12BD"/>
    <w:rsid w:val="009D16CC"/>
    <w:rsid w:val="009D1E82"/>
    <w:rsid w:val="009D1EF4"/>
    <w:rsid w:val="009D29AA"/>
    <w:rsid w:val="009D3687"/>
    <w:rsid w:val="009D46AE"/>
    <w:rsid w:val="009D55C3"/>
    <w:rsid w:val="009D5741"/>
    <w:rsid w:val="009D6100"/>
    <w:rsid w:val="009D7D33"/>
    <w:rsid w:val="009E1597"/>
    <w:rsid w:val="009E199A"/>
    <w:rsid w:val="009E26A1"/>
    <w:rsid w:val="009E2982"/>
    <w:rsid w:val="009E2AB9"/>
    <w:rsid w:val="009E3E8B"/>
    <w:rsid w:val="009F1547"/>
    <w:rsid w:val="009F27B3"/>
    <w:rsid w:val="009F398E"/>
    <w:rsid w:val="009F3FC7"/>
    <w:rsid w:val="009F5022"/>
    <w:rsid w:val="009F6246"/>
    <w:rsid w:val="009F7E33"/>
    <w:rsid w:val="00A00CF8"/>
    <w:rsid w:val="00A00DA5"/>
    <w:rsid w:val="00A019C2"/>
    <w:rsid w:val="00A01A36"/>
    <w:rsid w:val="00A01B25"/>
    <w:rsid w:val="00A01B45"/>
    <w:rsid w:val="00A024BC"/>
    <w:rsid w:val="00A02CE8"/>
    <w:rsid w:val="00A0338C"/>
    <w:rsid w:val="00A034BC"/>
    <w:rsid w:val="00A03DF8"/>
    <w:rsid w:val="00A03DFA"/>
    <w:rsid w:val="00A04F57"/>
    <w:rsid w:val="00A051EB"/>
    <w:rsid w:val="00A0686E"/>
    <w:rsid w:val="00A106CC"/>
    <w:rsid w:val="00A108BD"/>
    <w:rsid w:val="00A10A4A"/>
    <w:rsid w:val="00A12417"/>
    <w:rsid w:val="00A13091"/>
    <w:rsid w:val="00A14C15"/>
    <w:rsid w:val="00A159D3"/>
    <w:rsid w:val="00A1670E"/>
    <w:rsid w:val="00A17480"/>
    <w:rsid w:val="00A208EF"/>
    <w:rsid w:val="00A20A91"/>
    <w:rsid w:val="00A21582"/>
    <w:rsid w:val="00A227E2"/>
    <w:rsid w:val="00A22A54"/>
    <w:rsid w:val="00A23CB0"/>
    <w:rsid w:val="00A247EB"/>
    <w:rsid w:val="00A24AA2"/>
    <w:rsid w:val="00A25F06"/>
    <w:rsid w:val="00A26DF2"/>
    <w:rsid w:val="00A27DEE"/>
    <w:rsid w:val="00A304E2"/>
    <w:rsid w:val="00A308F1"/>
    <w:rsid w:val="00A309D3"/>
    <w:rsid w:val="00A32453"/>
    <w:rsid w:val="00A333A5"/>
    <w:rsid w:val="00A3527D"/>
    <w:rsid w:val="00A36172"/>
    <w:rsid w:val="00A36BEF"/>
    <w:rsid w:val="00A40EF9"/>
    <w:rsid w:val="00A41062"/>
    <w:rsid w:val="00A42D49"/>
    <w:rsid w:val="00A43320"/>
    <w:rsid w:val="00A44F74"/>
    <w:rsid w:val="00A4562B"/>
    <w:rsid w:val="00A5173A"/>
    <w:rsid w:val="00A51C59"/>
    <w:rsid w:val="00A51D9A"/>
    <w:rsid w:val="00A535E5"/>
    <w:rsid w:val="00A54577"/>
    <w:rsid w:val="00A558AC"/>
    <w:rsid w:val="00A55D5C"/>
    <w:rsid w:val="00A60175"/>
    <w:rsid w:val="00A606B7"/>
    <w:rsid w:val="00A60B20"/>
    <w:rsid w:val="00A61381"/>
    <w:rsid w:val="00A634AA"/>
    <w:rsid w:val="00A63C71"/>
    <w:rsid w:val="00A64F00"/>
    <w:rsid w:val="00A659EF"/>
    <w:rsid w:val="00A65CE8"/>
    <w:rsid w:val="00A66246"/>
    <w:rsid w:val="00A666B0"/>
    <w:rsid w:val="00A668C3"/>
    <w:rsid w:val="00A66BED"/>
    <w:rsid w:val="00A66F14"/>
    <w:rsid w:val="00A6707E"/>
    <w:rsid w:val="00A67923"/>
    <w:rsid w:val="00A67C12"/>
    <w:rsid w:val="00A67D87"/>
    <w:rsid w:val="00A70DAF"/>
    <w:rsid w:val="00A714D6"/>
    <w:rsid w:val="00A72D55"/>
    <w:rsid w:val="00A72E0E"/>
    <w:rsid w:val="00A742BA"/>
    <w:rsid w:val="00A74301"/>
    <w:rsid w:val="00A7464F"/>
    <w:rsid w:val="00A7768D"/>
    <w:rsid w:val="00A80034"/>
    <w:rsid w:val="00A82960"/>
    <w:rsid w:val="00A833D9"/>
    <w:rsid w:val="00A83D9E"/>
    <w:rsid w:val="00A84FA3"/>
    <w:rsid w:val="00A8501B"/>
    <w:rsid w:val="00A85644"/>
    <w:rsid w:val="00A85786"/>
    <w:rsid w:val="00A86942"/>
    <w:rsid w:val="00A90031"/>
    <w:rsid w:val="00A910F0"/>
    <w:rsid w:val="00A952B2"/>
    <w:rsid w:val="00AA16D0"/>
    <w:rsid w:val="00AA19A1"/>
    <w:rsid w:val="00AA1B97"/>
    <w:rsid w:val="00AA204C"/>
    <w:rsid w:val="00AA271E"/>
    <w:rsid w:val="00AA2DF8"/>
    <w:rsid w:val="00AA5C75"/>
    <w:rsid w:val="00AA6B98"/>
    <w:rsid w:val="00AA792C"/>
    <w:rsid w:val="00AB14B6"/>
    <w:rsid w:val="00AB250A"/>
    <w:rsid w:val="00AB270A"/>
    <w:rsid w:val="00AB2889"/>
    <w:rsid w:val="00AB2BE2"/>
    <w:rsid w:val="00AB2F18"/>
    <w:rsid w:val="00AB42A6"/>
    <w:rsid w:val="00AB4312"/>
    <w:rsid w:val="00AB43A0"/>
    <w:rsid w:val="00AB472B"/>
    <w:rsid w:val="00AB4852"/>
    <w:rsid w:val="00AB5041"/>
    <w:rsid w:val="00AB5CD2"/>
    <w:rsid w:val="00AB7DBD"/>
    <w:rsid w:val="00AC02C8"/>
    <w:rsid w:val="00AC1061"/>
    <w:rsid w:val="00AC2F6E"/>
    <w:rsid w:val="00AC3300"/>
    <w:rsid w:val="00AC3A73"/>
    <w:rsid w:val="00AC3A87"/>
    <w:rsid w:val="00AC42DA"/>
    <w:rsid w:val="00AC446B"/>
    <w:rsid w:val="00AC57B8"/>
    <w:rsid w:val="00AC67B3"/>
    <w:rsid w:val="00AD01D4"/>
    <w:rsid w:val="00AD0DBF"/>
    <w:rsid w:val="00AD2E77"/>
    <w:rsid w:val="00AD3026"/>
    <w:rsid w:val="00AD36CA"/>
    <w:rsid w:val="00AD390D"/>
    <w:rsid w:val="00AD3D25"/>
    <w:rsid w:val="00AD4AF1"/>
    <w:rsid w:val="00AD6861"/>
    <w:rsid w:val="00AD6DAF"/>
    <w:rsid w:val="00AD7695"/>
    <w:rsid w:val="00AE0B4F"/>
    <w:rsid w:val="00AE1071"/>
    <w:rsid w:val="00AE2CCE"/>
    <w:rsid w:val="00AE33FF"/>
    <w:rsid w:val="00AE4FE2"/>
    <w:rsid w:val="00AE5FFD"/>
    <w:rsid w:val="00AE60D6"/>
    <w:rsid w:val="00AE7E07"/>
    <w:rsid w:val="00AF0BC6"/>
    <w:rsid w:val="00AF164F"/>
    <w:rsid w:val="00AF3934"/>
    <w:rsid w:val="00AF45F8"/>
    <w:rsid w:val="00AF4AFC"/>
    <w:rsid w:val="00AF4E31"/>
    <w:rsid w:val="00AF5203"/>
    <w:rsid w:val="00B00EE9"/>
    <w:rsid w:val="00B02655"/>
    <w:rsid w:val="00B038C3"/>
    <w:rsid w:val="00B043F7"/>
    <w:rsid w:val="00B046C9"/>
    <w:rsid w:val="00B0514F"/>
    <w:rsid w:val="00B051A1"/>
    <w:rsid w:val="00B05489"/>
    <w:rsid w:val="00B05852"/>
    <w:rsid w:val="00B05BA5"/>
    <w:rsid w:val="00B07BA6"/>
    <w:rsid w:val="00B101A3"/>
    <w:rsid w:val="00B104F8"/>
    <w:rsid w:val="00B1311C"/>
    <w:rsid w:val="00B1413D"/>
    <w:rsid w:val="00B1447D"/>
    <w:rsid w:val="00B15FC5"/>
    <w:rsid w:val="00B16DE8"/>
    <w:rsid w:val="00B204A4"/>
    <w:rsid w:val="00B2082B"/>
    <w:rsid w:val="00B20E5C"/>
    <w:rsid w:val="00B20F81"/>
    <w:rsid w:val="00B227DB"/>
    <w:rsid w:val="00B22FF4"/>
    <w:rsid w:val="00B23EF8"/>
    <w:rsid w:val="00B25A91"/>
    <w:rsid w:val="00B3130C"/>
    <w:rsid w:val="00B320E9"/>
    <w:rsid w:val="00B32FDD"/>
    <w:rsid w:val="00B3341E"/>
    <w:rsid w:val="00B33A1A"/>
    <w:rsid w:val="00B33DAE"/>
    <w:rsid w:val="00B37C9F"/>
    <w:rsid w:val="00B40143"/>
    <w:rsid w:val="00B40AA0"/>
    <w:rsid w:val="00B41195"/>
    <w:rsid w:val="00B41997"/>
    <w:rsid w:val="00B42D8D"/>
    <w:rsid w:val="00B433DF"/>
    <w:rsid w:val="00B4353F"/>
    <w:rsid w:val="00B46D22"/>
    <w:rsid w:val="00B46F4E"/>
    <w:rsid w:val="00B47BA9"/>
    <w:rsid w:val="00B51013"/>
    <w:rsid w:val="00B51310"/>
    <w:rsid w:val="00B52866"/>
    <w:rsid w:val="00B52EE2"/>
    <w:rsid w:val="00B535E9"/>
    <w:rsid w:val="00B559E6"/>
    <w:rsid w:val="00B55F3F"/>
    <w:rsid w:val="00B56534"/>
    <w:rsid w:val="00B56F60"/>
    <w:rsid w:val="00B57126"/>
    <w:rsid w:val="00B57742"/>
    <w:rsid w:val="00B602C5"/>
    <w:rsid w:val="00B60A36"/>
    <w:rsid w:val="00B60E76"/>
    <w:rsid w:val="00B612D6"/>
    <w:rsid w:val="00B61585"/>
    <w:rsid w:val="00B6382E"/>
    <w:rsid w:val="00B646BC"/>
    <w:rsid w:val="00B707A7"/>
    <w:rsid w:val="00B70EC6"/>
    <w:rsid w:val="00B71820"/>
    <w:rsid w:val="00B732FA"/>
    <w:rsid w:val="00B77395"/>
    <w:rsid w:val="00B77556"/>
    <w:rsid w:val="00B77FBB"/>
    <w:rsid w:val="00B80B4F"/>
    <w:rsid w:val="00B81395"/>
    <w:rsid w:val="00B8235E"/>
    <w:rsid w:val="00B82BDB"/>
    <w:rsid w:val="00B830F4"/>
    <w:rsid w:val="00B8310C"/>
    <w:rsid w:val="00B8450E"/>
    <w:rsid w:val="00B84B7D"/>
    <w:rsid w:val="00B858C2"/>
    <w:rsid w:val="00B85AAE"/>
    <w:rsid w:val="00B87C55"/>
    <w:rsid w:val="00B90667"/>
    <w:rsid w:val="00B92B7D"/>
    <w:rsid w:val="00B93A80"/>
    <w:rsid w:val="00B94786"/>
    <w:rsid w:val="00B94A45"/>
    <w:rsid w:val="00B94BD1"/>
    <w:rsid w:val="00B95BED"/>
    <w:rsid w:val="00B95E35"/>
    <w:rsid w:val="00B96064"/>
    <w:rsid w:val="00B96AFC"/>
    <w:rsid w:val="00B96B37"/>
    <w:rsid w:val="00B96F5F"/>
    <w:rsid w:val="00B96FAE"/>
    <w:rsid w:val="00BA1CA3"/>
    <w:rsid w:val="00BA1F49"/>
    <w:rsid w:val="00BA32AB"/>
    <w:rsid w:val="00BA3FCD"/>
    <w:rsid w:val="00BA43AD"/>
    <w:rsid w:val="00BA4883"/>
    <w:rsid w:val="00BA5766"/>
    <w:rsid w:val="00BA5DEB"/>
    <w:rsid w:val="00BA77D7"/>
    <w:rsid w:val="00BA7B34"/>
    <w:rsid w:val="00BB0053"/>
    <w:rsid w:val="00BB05AB"/>
    <w:rsid w:val="00BB210A"/>
    <w:rsid w:val="00BB255E"/>
    <w:rsid w:val="00BB3038"/>
    <w:rsid w:val="00BB42AC"/>
    <w:rsid w:val="00BB6552"/>
    <w:rsid w:val="00BB67A3"/>
    <w:rsid w:val="00BB6B4E"/>
    <w:rsid w:val="00BB6B4F"/>
    <w:rsid w:val="00BC034E"/>
    <w:rsid w:val="00BC3E7D"/>
    <w:rsid w:val="00BC4505"/>
    <w:rsid w:val="00BC4922"/>
    <w:rsid w:val="00BC67F8"/>
    <w:rsid w:val="00BC6A49"/>
    <w:rsid w:val="00BC6D3B"/>
    <w:rsid w:val="00BD1192"/>
    <w:rsid w:val="00BD148D"/>
    <w:rsid w:val="00BD3E44"/>
    <w:rsid w:val="00BD4A97"/>
    <w:rsid w:val="00BD7870"/>
    <w:rsid w:val="00BD7C68"/>
    <w:rsid w:val="00BD7E61"/>
    <w:rsid w:val="00BE01D1"/>
    <w:rsid w:val="00BE1219"/>
    <w:rsid w:val="00BE41A9"/>
    <w:rsid w:val="00BE41FA"/>
    <w:rsid w:val="00BE5052"/>
    <w:rsid w:val="00BE73FF"/>
    <w:rsid w:val="00BE7F1A"/>
    <w:rsid w:val="00BF1D3E"/>
    <w:rsid w:val="00BF215D"/>
    <w:rsid w:val="00BF3CC6"/>
    <w:rsid w:val="00BF66C6"/>
    <w:rsid w:val="00BF7028"/>
    <w:rsid w:val="00BF71BA"/>
    <w:rsid w:val="00BF7D33"/>
    <w:rsid w:val="00C002FA"/>
    <w:rsid w:val="00C03022"/>
    <w:rsid w:val="00C03776"/>
    <w:rsid w:val="00C0460E"/>
    <w:rsid w:val="00C05E45"/>
    <w:rsid w:val="00C06655"/>
    <w:rsid w:val="00C119B6"/>
    <w:rsid w:val="00C122C8"/>
    <w:rsid w:val="00C13821"/>
    <w:rsid w:val="00C144C3"/>
    <w:rsid w:val="00C145FD"/>
    <w:rsid w:val="00C158A1"/>
    <w:rsid w:val="00C160C3"/>
    <w:rsid w:val="00C1689D"/>
    <w:rsid w:val="00C16B53"/>
    <w:rsid w:val="00C16C9D"/>
    <w:rsid w:val="00C21982"/>
    <w:rsid w:val="00C2330E"/>
    <w:rsid w:val="00C23549"/>
    <w:rsid w:val="00C262AF"/>
    <w:rsid w:val="00C26BD5"/>
    <w:rsid w:val="00C3088F"/>
    <w:rsid w:val="00C311EA"/>
    <w:rsid w:val="00C3256E"/>
    <w:rsid w:val="00C32DFA"/>
    <w:rsid w:val="00C32E2C"/>
    <w:rsid w:val="00C33130"/>
    <w:rsid w:val="00C34ABA"/>
    <w:rsid w:val="00C34D7A"/>
    <w:rsid w:val="00C3650A"/>
    <w:rsid w:val="00C36A3F"/>
    <w:rsid w:val="00C37D21"/>
    <w:rsid w:val="00C400E2"/>
    <w:rsid w:val="00C40249"/>
    <w:rsid w:val="00C413D4"/>
    <w:rsid w:val="00C4221D"/>
    <w:rsid w:val="00C42256"/>
    <w:rsid w:val="00C429AB"/>
    <w:rsid w:val="00C4369D"/>
    <w:rsid w:val="00C43D99"/>
    <w:rsid w:val="00C44863"/>
    <w:rsid w:val="00C4654A"/>
    <w:rsid w:val="00C46A55"/>
    <w:rsid w:val="00C5031E"/>
    <w:rsid w:val="00C50926"/>
    <w:rsid w:val="00C511C7"/>
    <w:rsid w:val="00C53FA6"/>
    <w:rsid w:val="00C54021"/>
    <w:rsid w:val="00C54225"/>
    <w:rsid w:val="00C54FDA"/>
    <w:rsid w:val="00C54FE7"/>
    <w:rsid w:val="00C552A9"/>
    <w:rsid w:val="00C55ABE"/>
    <w:rsid w:val="00C62273"/>
    <w:rsid w:val="00C63DA5"/>
    <w:rsid w:val="00C648E8"/>
    <w:rsid w:val="00C67877"/>
    <w:rsid w:val="00C70CCA"/>
    <w:rsid w:val="00C70F06"/>
    <w:rsid w:val="00C714AE"/>
    <w:rsid w:val="00C722F2"/>
    <w:rsid w:val="00C73F19"/>
    <w:rsid w:val="00C74588"/>
    <w:rsid w:val="00C75655"/>
    <w:rsid w:val="00C77364"/>
    <w:rsid w:val="00C814D0"/>
    <w:rsid w:val="00C8175E"/>
    <w:rsid w:val="00C82D40"/>
    <w:rsid w:val="00C82DE5"/>
    <w:rsid w:val="00C84009"/>
    <w:rsid w:val="00C8460B"/>
    <w:rsid w:val="00C854A2"/>
    <w:rsid w:val="00C85970"/>
    <w:rsid w:val="00C86797"/>
    <w:rsid w:val="00C86849"/>
    <w:rsid w:val="00C868F6"/>
    <w:rsid w:val="00C86EF0"/>
    <w:rsid w:val="00C8780E"/>
    <w:rsid w:val="00C90E24"/>
    <w:rsid w:val="00C913F1"/>
    <w:rsid w:val="00C918CE"/>
    <w:rsid w:val="00C932CB"/>
    <w:rsid w:val="00C9341F"/>
    <w:rsid w:val="00C9514E"/>
    <w:rsid w:val="00C96B72"/>
    <w:rsid w:val="00C9744B"/>
    <w:rsid w:val="00C97AAE"/>
    <w:rsid w:val="00C97EBB"/>
    <w:rsid w:val="00CA1503"/>
    <w:rsid w:val="00CA32CD"/>
    <w:rsid w:val="00CA3A35"/>
    <w:rsid w:val="00CA3AE8"/>
    <w:rsid w:val="00CA5464"/>
    <w:rsid w:val="00CA548D"/>
    <w:rsid w:val="00CA5768"/>
    <w:rsid w:val="00CA721A"/>
    <w:rsid w:val="00CA76B8"/>
    <w:rsid w:val="00CA7BA6"/>
    <w:rsid w:val="00CB08DE"/>
    <w:rsid w:val="00CB152F"/>
    <w:rsid w:val="00CB2A92"/>
    <w:rsid w:val="00CB2A96"/>
    <w:rsid w:val="00CB41FE"/>
    <w:rsid w:val="00CB56F9"/>
    <w:rsid w:val="00CB5754"/>
    <w:rsid w:val="00CB641E"/>
    <w:rsid w:val="00CB7302"/>
    <w:rsid w:val="00CC0530"/>
    <w:rsid w:val="00CC06AD"/>
    <w:rsid w:val="00CC1A94"/>
    <w:rsid w:val="00CC20DE"/>
    <w:rsid w:val="00CC2D84"/>
    <w:rsid w:val="00CC32C5"/>
    <w:rsid w:val="00CC3607"/>
    <w:rsid w:val="00CC409B"/>
    <w:rsid w:val="00CC52AB"/>
    <w:rsid w:val="00CC5662"/>
    <w:rsid w:val="00CC6EF0"/>
    <w:rsid w:val="00CC7AA2"/>
    <w:rsid w:val="00CD0068"/>
    <w:rsid w:val="00CD138D"/>
    <w:rsid w:val="00CD1A02"/>
    <w:rsid w:val="00CD1B82"/>
    <w:rsid w:val="00CD2AFF"/>
    <w:rsid w:val="00CD2B4F"/>
    <w:rsid w:val="00CD4673"/>
    <w:rsid w:val="00CD4813"/>
    <w:rsid w:val="00CD6C8D"/>
    <w:rsid w:val="00CD79CA"/>
    <w:rsid w:val="00CE01CF"/>
    <w:rsid w:val="00CE03C3"/>
    <w:rsid w:val="00CE04DB"/>
    <w:rsid w:val="00CE0BC7"/>
    <w:rsid w:val="00CE12F0"/>
    <w:rsid w:val="00CE335D"/>
    <w:rsid w:val="00CE3ED8"/>
    <w:rsid w:val="00CE4193"/>
    <w:rsid w:val="00CE4F96"/>
    <w:rsid w:val="00CE52E2"/>
    <w:rsid w:val="00CE567D"/>
    <w:rsid w:val="00CE7944"/>
    <w:rsid w:val="00CF05D0"/>
    <w:rsid w:val="00CF05E2"/>
    <w:rsid w:val="00CF0FD7"/>
    <w:rsid w:val="00CF23E2"/>
    <w:rsid w:val="00CF257A"/>
    <w:rsid w:val="00CF3FF6"/>
    <w:rsid w:val="00CF4A94"/>
    <w:rsid w:val="00CF5494"/>
    <w:rsid w:val="00CF5B47"/>
    <w:rsid w:val="00CF5F87"/>
    <w:rsid w:val="00CF65C2"/>
    <w:rsid w:val="00D01483"/>
    <w:rsid w:val="00D0167E"/>
    <w:rsid w:val="00D01690"/>
    <w:rsid w:val="00D02C08"/>
    <w:rsid w:val="00D0332E"/>
    <w:rsid w:val="00D05F28"/>
    <w:rsid w:val="00D12387"/>
    <w:rsid w:val="00D13705"/>
    <w:rsid w:val="00D149E1"/>
    <w:rsid w:val="00D16008"/>
    <w:rsid w:val="00D1610D"/>
    <w:rsid w:val="00D1661B"/>
    <w:rsid w:val="00D17678"/>
    <w:rsid w:val="00D17D09"/>
    <w:rsid w:val="00D226B2"/>
    <w:rsid w:val="00D23CBC"/>
    <w:rsid w:val="00D23F43"/>
    <w:rsid w:val="00D2455F"/>
    <w:rsid w:val="00D246E8"/>
    <w:rsid w:val="00D25CD4"/>
    <w:rsid w:val="00D261F9"/>
    <w:rsid w:val="00D26482"/>
    <w:rsid w:val="00D2686E"/>
    <w:rsid w:val="00D27972"/>
    <w:rsid w:val="00D27A35"/>
    <w:rsid w:val="00D309AB"/>
    <w:rsid w:val="00D318D2"/>
    <w:rsid w:val="00D31AAA"/>
    <w:rsid w:val="00D335BC"/>
    <w:rsid w:val="00D3381C"/>
    <w:rsid w:val="00D33C33"/>
    <w:rsid w:val="00D33D87"/>
    <w:rsid w:val="00D34505"/>
    <w:rsid w:val="00D345D5"/>
    <w:rsid w:val="00D359A7"/>
    <w:rsid w:val="00D36553"/>
    <w:rsid w:val="00D4008B"/>
    <w:rsid w:val="00D40FE1"/>
    <w:rsid w:val="00D41500"/>
    <w:rsid w:val="00D41B2E"/>
    <w:rsid w:val="00D42978"/>
    <w:rsid w:val="00D437C2"/>
    <w:rsid w:val="00D439A4"/>
    <w:rsid w:val="00D43A24"/>
    <w:rsid w:val="00D43AFC"/>
    <w:rsid w:val="00D44ACE"/>
    <w:rsid w:val="00D450E6"/>
    <w:rsid w:val="00D4599A"/>
    <w:rsid w:val="00D47468"/>
    <w:rsid w:val="00D47F6E"/>
    <w:rsid w:val="00D5054C"/>
    <w:rsid w:val="00D52F37"/>
    <w:rsid w:val="00D5449E"/>
    <w:rsid w:val="00D5640A"/>
    <w:rsid w:val="00D61F24"/>
    <w:rsid w:val="00D64BE4"/>
    <w:rsid w:val="00D656F5"/>
    <w:rsid w:val="00D657AC"/>
    <w:rsid w:val="00D67449"/>
    <w:rsid w:val="00D67B3F"/>
    <w:rsid w:val="00D70163"/>
    <w:rsid w:val="00D705D7"/>
    <w:rsid w:val="00D722DF"/>
    <w:rsid w:val="00D74C8F"/>
    <w:rsid w:val="00D76057"/>
    <w:rsid w:val="00D77439"/>
    <w:rsid w:val="00D80A6D"/>
    <w:rsid w:val="00D82375"/>
    <w:rsid w:val="00D83188"/>
    <w:rsid w:val="00D838DC"/>
    <w:rsid w:val="00D83F6D"/>
    <w:rsid w:val="00D84F1D"/>
    <w:rsid w:val="00D8506A"/>
    <w:rsid w:val="00D856B7"/>
    <w:rsid w:val="00D85793"/>
    <w:rsid w:val="00D8621B"/>
    <w:rsid w:val="00D87F4B"/>
    <w:rsid w:val="00D9448A"/>
    <w:rsid w:val="00DA009C"/>
    <w:rsid w:val="00DA06B5"/>
    <w:rsid w:val="00DA0CEC"/>
    <w:rsid w:val="00DA2469"/>
    <w:rsid w:val="00DA3BB2"/>
    <w:rsid w:val="00DA4BA9"/>
    <w:rsid w:val="00DA4E35"/>
    <w:rsid w:val="00DA5F60"/>
    <w:rsid w:val="00DA77A2"/>
    <w:rsid w:val="00DB1424"/>
    <w:rsid w:val="00DB16AC"/>
    <w:rsid w:val="00DB2822"/>
    <w:rsid w:val="00DB2BCE"/>
    <w:rsid w:val="00DB74D3"/>
    <w:rsid w:val="00DB7904"/>
    <w:rsid w:val="00DB7A39"/>
    <w:rsid w:val="00DC189D"/>
    <w:rsid w:val="00DC6D31"/>
    <w:rsid w:val="00DC7682"/>
    <w:rsid w:val="00DD142C"/>
    <w:rsid w:val="00DD1A99"/>
    <w:rsid w:val="00DD3E7F"/>
    <w:rsid w:val="00DD4F74"/>
    <w:rsid w:val="00DD52B4"/>
    <w:rsid w:val="00DD5AA5"/>
    <w:rsid w:val="00DD63B0"/>
    <w:rsid w:val="00DD6669"/>
    <w:rsid w:val="00DD70E1"/>
    <w:rsid w:val="00DE003B"/>
    <w:rsid w:val="00DE1703"/>
    <w:rsid w:val="00DE45A7"/>
    <w:rsid w:val="00DE4E62"/>
    <w:rsid w:val="00DE5384"/>
    <w:rsid w:val="00DE6207"/>
    <w:rsid w:val="00DE76C4"/>
    <w:rsid w:val="00DF064D"/>
    <w:rsid w:val="00DF115A"/>
    <w:rsid w:val="00DF2325"/>
    <w:rsid w:val="00DF2DF8"/>
    <w:rsid w:val="00DF33BB"/>
    <w:rsid w:val="00DF5C9C"/>
    <w:rsid w:val="00DF5DC2"/>
    <w:rsid w:val="00DF68A3"/>
    <w:rsid w:val="00DF6D57"/>
    <w:rsid w:val="00DF7180"/>
    <w:rsid w:val="00DF74D6"/>
    <w:rsid w:val="00E02171"/>
    <w:rsid w:val="00E025C5"/>
    <w:rsid w:val="00E02D9B"/>
    <w:rsid w:val="00E03C40"/>
    <w:rsid w:val="00E0735A"/>
    <w:rsid w:val="00E07E50"/>
    <w:rsid w:val="00E108BB"/>
    <w:rsid w:val="00E11A3C"/>
    <w:rsid w:val="00E1225D"/>
    <w:rsid w:val="00E12B2C"/>
    <w:rsid w:val="00E140B6"/>
    <w:rsid w:val="00E143EC"/>
    <w:rsid w:val="00E152F6"/>
    <w:rsid w:val="00E15DBA"/>
    <w:rsid w:val="00E16F39"/>
    <w:rsid w:val="00E20740"/>
    <w:rsid w:val="00E208D7"/>
    <w:rsid w:val="00E20CDA"/>
    <w:rsid w:val="00E22040"/>
    <w:rsid w:val="00E22BC7"/>
    <w:rsid w:val="00E25063"/>
    <w:rsid w:val="00E25173"/>
    <w:rsid w:val="00E255A4"/>
    <w:rsid w:val="00E26AD1"/>
    <w:rsid w:val="00E26D46"/>
    <w:rsid w:val="00E305A6"/>
    <w:rsid w:val="00E311D5"/>
    <w:rsid w:val="00E31B60"/>
    <w:rsid w:val="00E31CBD"/>
    <w:rsid w:val="00E32CDC"/>
    <w:rsid w:val="00E34503"/>
    <w:rsid w:val="00E34CC3"/>
    <w:rsid w:val="00E350CD"/>
    <w:rsid w:val="00E351B1"/>
    <w:rsid w:val="00E35D75"/>
    <w:rsid w:val="00E36896"/>
    <w:rsid w:val="00E371A5"/>
    <w:rsid w:val="00E37781"/>
    <w:rsid w:val="00E37C45"/>
    <w:rsid w:val="00E410E7"/>
    <w:rsid w:val="00E4578C"/>
    <w:rsid w:val="00E45A7F"/>
    <w:rsid w:val="00E45FFD"/>
    <w:rsid w:val="00E477DD"/>
    <w:rsid w:val="00E500B0"/>
    <w:rsid w:val="00E50823"/>
    <w:rsid w:val="00E50CB0"/>
    <w:rsid w:val="00E514F0"/>
    <w:rsid w:val="00E537CB"/>
    <w:rsid w:val="00E538C7"/>
    <w:rsid w:val="00E545EB"/>
    <w:rsid w:val="00E54676"/>
    <w:rsid w:val="00E55360"/>
    <w:rsid w:val="00E561F4"/>
    <w:rsid w:val="00E564BF"/>
    <w:rsid w:val="00E5770A"/>
    <w:rsid w:val="00E57962"/>
    <w:rsid w:val="00E579DA"/>
    <w:rsid w:val="00E57B9D"/>
    <w:rsid w:val="00E609CA"/>
    <w:rsid w:val="00E617B8"/>
    <w:rsid w:val="00E619D8"/>
    <w:rsid w:val="00E61D18"/>
    <w:rsid w:val="00E623D1"/>
    <w:rsid w:val="00E62783"/>
    <w:rsid w:val="00E63A57"/>
    <w:rsid w:val="00E657CB"/>
    <w:rsid w:val="00E705B5"/>
    <w:rsid w:val="00E705B7"/>
    <w:rsid w:val="00E70804"/>
    <w:rsid w:val="00E70DFA"/>
    <w:rsid w:val="00E71364"/>
    <w:rsid w:val="00E73BFD"/>
    <w:rsid w:val="00E74775"/>
    <w:rsid w:val="00E74D66"/>
    <w:rsid w:val="00E768C9"/>
    <w:rsid w:val="00E77CEA"/>
    <w:rsid w:val="00E77F7F"/>
    <w:rsid w:val="00E77F97"/>
    <w:rsid w:val="00E80EAA"/>
    <w:rsid w:val="00E8174C"/>
    <w:rsid w:val="00E81EB1"/>
    <w:rsid w:val="00E82A73"/>
    <w:rsid w:val="00E83B58"/>
    <w:rsid w:val="00E83D30"/>
    <w:rsid w:val="00E8417E"/>
    <w:rsid w:val="00E847DA"/>
    <w:rsid w:val="00E8480D"/>
    <w:rsid w:val="00E85560"/>
    <w:rsid w:val="00E866DA"/>
    <w:rsid w:val="00E86C35"/>
    <w:rsid w:val="00E87457"/>
    <w:rsid w:val="00E87BB6"/>
    <w:rsid w:val="00E91A5A"/>
    <w:rsid w:val="00E932ED"/>
    <w:rsid w:val="00E93359"/>
    <w:rsid w:val="00E9389A"/>
    <w:rsid w:val="00E94BE1"/>
    <w:rsid w:val="00E95E66"/>
    <w:rsid w:val="00E96D15"/>
    <w:rsid w:val="00E97217"/>
    <w:rsid w:val="00EA1731"/>
    <w:rsid w:val="00EA1E6F"/>
    <w:rsid w:val="00EA2164"/>
    <w:rsid w:val="00EA2365"/>
    <w:rsid w:val="00EA2EE4"/>
    <w:rsid w:val="00EA3A87"/>
    <w:rsid w:val="00EA5870"/>
    <w:rsid w:val="00EA6929"/>
    <w:rsid w:val="00EA6F69"/>
    <w:rsid w:val="00EA730E"/>
    <w:rsid w:val="00EB055B"/>
    <w:rsid w:val="00EB3F90"/>
    <w:rsid w:val="00EB4CF3"/>
    <w:rsid w:val="00EB4EF9"/>
    <w:rsid w:val="00EB5773"/>
    <w:rsid w:val="00EB713A"/>
    <w:rsid w:val="00EC1212"/>
    <w:rsid w:val="00EC1D3D"/>
    <w:rsid w:val="00EC2404"/>
    <w:rsid w:val="00EC40F6"/>
    <w:rsid w:val="00EC415F"/>
    <w:rsid w:val="00EC421D"/>
    <w:rsid w:val="00EC448B"/>
    <w:rsid w:val="00EC4539"/>
    <w:rsid w:val="00EC4922"/>
    <w:rsid w:val="00EC498A"/>
    <w:rsid w:val="00EC4DF2"/>
    <w:rsid w:val="00EC4F69"/>
    <w:rsid w:val="00EC5BD5"/>
    <w:rsid w:val="00EC714A"/>
    <w:rsid w:val="00EC7E67"/>
    <w:rsid w:val="00EC7F85"/>
    <w:rsid w:val="00ED2111"/>
    <w:rsid w:val="00ED29BC"/>
    <w:rsid w:val="00ED36E4"/>
    <w:rsid w:val="00ED468F"/>
    <w:rsid w:val="00ED60F8"/>
    <w:rsid w:val="00ED6711"/>
    <w:rsid w:val="00ED7B6B"/>
    <w:rsid w:val="00EE09B8"/>
    <w:rsid w:val="00EE0B3E"/>
    <w:rsid w:val="00EE14D2"/>
    <w:rsid w:val="00EE36E5"/>
    <w:rsid w:val="00EE36EB"/>
    <w:rsid w:val="00EE3E62"/>
    <w:rsid w:val="00EE40FF"/>
    <w:rsid w:val="00EE6345"/>
    <w:rsid w:val="00EE72FA"/>
    <w:rsid w:val="00EE7CCD"/>
    <w:rsid w:val="00EF0406"/>
    <w:rsid w:val="00EF2D02"/>
    <w:rsid w:val="00EF64F0"/>
    <w:rsid w:val="00EF70A9"/>
    <w:rsid w:val="00EF7251"/>
    <w:rsid w:val="00EF7C75"/>
    <w:rsid w:val="00F01526"/>
    <w:rsid w:val="00F019DD"/>
    <w:rsid w:val="00F01C4C"/>
    <w:rsid w:val="00F02BEE"/>
    <w:rsid w:val="00F031C7"/>
    <w:rsid w:val="00F0406A"/>
    <w:rsid w:val="00F047AC"/>
    <w:rsid w:val="00F04BA9"/>
    <w:rsid w:val="00F059CA"/>
    <w:rsid w:val="00F07210"/>
    <w:rsid w:val="00F1010C"/>
    <w:rsid w:val="00F10202"/>
    <w:rsid w:val="00F114A8"/>
    <w:rsid w:val="00F128DE"/>
    <w:rsid w:val="00F13036"/>
    <w:rsid w:val="00F1401D"/>
    <w:rsid w:val="00F15DBB"/>
    <w:rsid w:val="00F218A5"/>
    <w:rsid w:val="00F22C46"/>
    <w:rsid w:val="00F22E39"/>
    <w:rsid w:val="00F233BA"/>
    <w:rsid w:val="00F23829"/>
    <w:rsid w:val="00F23A29"/>
    <w:rsid w:val="00F23A41"/>
    <w:rsid w:val="00F244A8"/>
    <w:rsid w:val="00F244F8"/>
    <w:rsid w:val="00F24D75"/>
    <w:rsid w:val="00F25285"/>
    <w:rsid w:val="00F261E3"/>
    <w:rsid w:val="00F262C6"/>
    <w:rsid w:val="00F27245"/>
    <w:rsid w:val="00F27D82"/>
    <w:rsid w:val="00F300C7"/>
    <w:rsid w:val="00F301DE"/>
    <w:rsid w:val="00F31917"/>
    <w:rsid w:val="00F31FEC"/>
    <w:rsid w:val="00F325CB"/>
    <w:rsid w:val="00F335E7"/>
    <w:rsid w:val="00F34F33"/>
    <w:rsid w:val="00F352DD"/>
    <w:rsid w:val="00F35BAB"/>
    <w:rsid w:val="00F40573"/>
    <w:rsid w:val="00F420DE"/>
    <w:rsid w:val="00F42436"/>
    <w:rsid w:val="00F427D1"/>
    <w:rsid w:val="00F42ADB"/>
    <w:rsid w:val="00F44D9B"/>
    <w:rsid w:val="00F459D8"/>
    <w:rsid w:val="00F45F49"/>
    <w:rsid w:val="00F461A6"/>
    <w:rsid w:val="00F46EF7"/>
    <w:rsid w:val="00F505E6"/>
    <w:rsid w:val="00F51A31"/>
    <w:rsid w:val="00F51EC8"/>
    <w:rsid w:val="00F524CF"/>
    <w:rsid w:val="00F56608"/>
    <w:rsid w:val="00F57211"/>
    <w:rsid w:val="00F60223"/>
    <w:rsid w:val="00F60DA0"/>
    <w:rsid w:val="00F610A8"/>
    <w:rsid w:val="00F61411"/>
    <w:rsid w:val="00F6142C"/>
    <w:rsid w:val="00F61D56"/>
    <w:rsid w:val="00F643FB"/>
    <w:rsid w:val="00F64A23"/>
    <w:rsid w:val="00F6551C"/>
    <w:rsid w:val="00F659E9"/>
    <w:rsid w:val="00F662F3"/>
    <w:rsid w:val="00F667C1"/>
    <w:rsid w:val="00F67415"/>
    <w:rsid w:val="00F67442"/>
    <w:rsid w:val="00F7217C"/>
    <w:rsid w:val="00F72730"/>
    <w:rsid w:val="00F729E6"/>
    <w:rsid w:val="00F730DD"/>
    <w:rsid w:val="00F75B73"/>
    <w:rsid w:val="00F8040A"/>
    <w:rsid w:val="00F80C70"/>
    <w:rsid w:val="00F81DFF"/>
    <w:rsid w:val="00F821C6"/>
    <w:rsid w:val="00F821E0"/>
    <w:rsid w:val="00F824C9"/>
    <w:rsid w:val="00F831E3"/>
    <w:rsid w:val="00F8320E"/>
    <w:rsid w:val="00F84124"/>
    <w:rsid w:val="00F8546B"/>
    <w:rsid w:val="00F8667F"/>
    <w:rsid w:val="00F86882"/>
    <w:rsid w:val="00F872EF"/>
    <w:rsid w:val="00F9023D"/>
    <w:rsid w:val="00F92F8A"/>
    <w:rsid w:val="00F941BE"/>
    <w:rsid w:val="00F943D6"/>
    <w:rsid w:val="00F94A11"/>
    <w:rsid w:val="00F94E1B"/>
    <w:rsid w:val="00F9615B"/>
    <w:rsid w:val="00F969D4"/>
    <w:rsid w:val="00F96E76"/>
    <w:rsid w:val="00F97E2E"/>
    <w:rsid w:val="00FA1A82"/>
    <w:rsid w:val="00FA1D37"/>
    <w:rsid w:val="00FA1FAE"/>
    <w:rsid w:val="00FA2E78"/>
    <w:rsid w:val="00FA3CC1"/>
    <w:rsid w:val="00FA3ECA"/>
    <w:rsid w:val="00FA47AD"/>
    <w:rsid w:val="00FA5005"/>
    <w:rsid w:val="00FA6283"/>
    <w:rsid w:val="00FA6428"/>
    <w:rsid w:val="00FA7830"/>
    <w:rsid w:val="00FA7B03"/>
    <w:rsid w:val="00FB0249"/>
    <w:rsid w:val="00FB08DD"/>
    <w:rsid w:val="00FB0ACA"/>
    <w:rsid w:val="00FB103D"/>
    <w:rsid w:val="00FB1686"/>
    <w:rsid w:val="00FB1DC8"/>
    <w:rsid w:val="00FB3DE7"/>
    <w:rsid w:val="00FB3F62"/>
    <w:rsid w:val="00FB5116"/>
    <w:rsid w:val="00FB587B"/>
    <w:rsid w:val="00FB668C"/>
    <w:rsid w:val="00FB6C1D"/>
    <w:rsid w:val="00FB705A"/>
    <w:rsid w:val="00FB7715"/>
    <w:rsid w:val="00FB7DCD"/>
    <w:rsid w:val="00FC08AE"/>
    <w:rsid w:val="00FC0A9D"/>
    <w:rsid w:val="00FC0C2B"/>
    <w:rsid w:val="00FC22D2"/>
    <w:rsid w:val="00FC5753"/>
    <w:rsid w:val="00FC579D"/>
    <w:rsid w:val="00FC6949"/>
    <w:rsid w:val="00FC6980"/>
    <w:rsid w:val="00FD0201"/>
    <w:rsid w:val="00FD03CF"/>
    <w:rsid w:val="00FD04FC"/>
    <w:rsid w:val="00FD0D06"/>
    <w:rsid w:val="00FD1108"/>
    <w:rsid w:val="00FD1C2C"/>
    <w:rsid w:val="00FD22F7"/>
    <w:rsid w:val="00FD2F09"/>
    <w:rsid w:val="00FD4C77"/>
    <w:rsid w:val="00FD4FF8"/>
    <w:rsid w:val="00FD7331"/>
    <w:rsid w:val="00FD77B0"/>
    <w:rsid w:val="00FE36BF"/>
    <w:rsid w:val="00FE4409"/>
    <w:rsid w:val="00FE4BAF"/>
    <w:rsid w:val="00FE5CE6"/>
    <w:rsid w:val="00FE5FC7"/>
    <w:rsid w:val="00FE6401"/>
    <w:rsid w:val="00FE743B"/>
    <w:rsid w:val="00FE7F25"/>
    <w:rsid w:val="00FF094B"/>
    <w:rsid w:val="00FF0956"/>
    <w:rsid w:val="00FF0B20"/>
    <w:rsid w:val="00FF1714"/>
    <w:rsid w:val="00FF2B2C"/>
    <w:rsid w:val="00FF39A3"/>
    <w:rsid w:val="00FF4555"/>
    <w:rsid w:val="00FF614E"/>
    <w:rsid w:val="00FF6517"/>
    <w:rsid w:val="00FF79C9"/>
    <w:rsid w:val="00FF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8E4C54"/>
    <w:pPr>
      <w:keepNext/>
      <w:keepLines/>
      <w:spacing w:line="360" w:lineRule="auto"/>
      <w:ind w:firstLine="3600"/>
      <w:outlineLvl w:val="5"/>
    </w:pPr>
    <w:rPr>
      <w:rFonts w:eastAsiaTheme="majorEastAsia"/>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rsid w:val="004D1CC1"/>
    <w:pPr>
      <w:spacing w:after="100"/>
    </w:pPr>
  </w:style>
  <w:style w:type="character" w:styleId="Hyperlink">
    <w:name w:val="Hyperlink"/>
    <w:basedOn w:val="DefaultParagraphFont"/>
    <w:uiPriority w:val="99"/>
    <w:unhideWhenUsed/>
    <w:rsid w:val="004D1CC1"/>
    <w:rPr>
      <w:color w:val="5F5F5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rsid w:val="000854A4"/>
    <w:pPr>
      <w:tabs>
        <w:tab w:val="left" w:pos="1080"/>
        <w:tab w:val="right" w:leader="dot" w:pos="9350"/>
      </w:tabs>
      <w:spacing w:after="100"/>
      <w:ind w:left="240"/>
    </w:pPr>
  </w:style>
  <w:style w:type="paragraph" w:styleId="TOC3">
    <w:name w:val="toc 3"/>
    <w:basedOn w:val="Normal"/>
    <w:next w:val="Normal"/>
    <w:autoRedefine/>
    <w:uiPriority w:val="39"/>
    <w:unhideWhenUsed/>
    <w:rsid w:val="00E02D9B"/>
    <w:pPr>
      <w:tabs>
        <w:tab w:val="left" w:pos="1440"/>
        <w:tab w:val="right" w:leader="dot" w:pos="9350"/>
      </w:tabs>
      <w:spacing w:after="100"/>
      <w:ind w:left="480"/>
    </w:pPr>
  </w:style>
  <w:style w:type="paragraph" w:styleId="TOC4">
    <w:name w:val="toc 4"/>
    <w:basedOn w:val="Normal"/>
    <w:next w:val="Normal"/>
    <w:autoRedefine/>
    <w:uiPriority w:val="39"/>
    <w:unhideWhenUsed/>
    <w:rsid w:val="00E02D9B"/>
    <w:pPr>
      <w:tabs>
        <w:tab w:val="left" w:pos="1800"/>
        <w:tab w:val="right" w:leader="dot" w:pos="9350"/>
      </w:tabs>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E02D9B"/>
    <w:pPr>
      <w:tabs>
        <w:tab w:val="left" w:pos="2160"/>
        <w:tab w:val="right" w:leader="dot" w:pos="9350"/>
      </w:tabs>
      <w:spacing w:after="100"/>
      <w:ind w:left="2160" w:hanging="120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rsid w:val="003E58B9"/>
    <w:rPr>
      <w:rFonts w:ascii="Times New Roman" w:eastAsia="Times New Roman" w:hAnsi="Times New Roman" w:cs="Times New Roman"/>
      <w:sz w:val="20"/>
      <w:szCs w:val="20"/>
    </w:rPr>
  </w:style>
  <w:style w:type="character" w:styleId="FootnoteReference">
    <w:name w:val="footnote reference"/>
    <w:basedOn w:val="DefaultParagraphFont"/>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TOC6">
    <w:name w:val="toc 6"/>
    <w:basedOn w:val="Normal"/>
    <w:next w:val="Normal"/>
    <w:autoRedefine/>
    <w:uiPriority w:val="39"/>
    <w:unhideWhenUsed/>
    <w:rsid w:val="00D439A4"/>
    <w:pPr>
      <w:tabs>
        <w:tab w:val="left" w:pos="1800"/>
        <w:tab w:val="right" w:leader="dot" w:pos="9350"/>
      </w:tabs>
      <w:spacing w:after="100" w:line="276" w:lineRule="auto"/>
      <w:ind w:left="1100"/>
    </w:pPr>
    <w:rPr>
      <w:rFonts w:eastAsiaTheme="minorEastAsia"/>
      <w:noProof/>
      <w:sz w:val="22"/>
      <w:szCs w:val="22"/>
    </w:rPr>
  </w:style>
  <w:style w:type="paragraph" w:styleId="TOC7">
    <w:name w:val="toc 7"/>
    <w:basedOn w:val="Normal"/>
    <w:next w:val="Normal"/>
    <w:autoRedefine/>
    <w:uiPriority w:val="39"/>
    <w:unhideWhenUsed/>
    <w:rsid w:val="00543B6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3B6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3B63"/>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800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5FC7"/>
    <w:rPr>
      <w:rFonts w:ascii="Tahoma" w:hAnsi="Tahoma" w:cs="Tahoma"/>
      <w:sz w:val="16"/>
      <w:szCs w:val="16"/>
    </w:rPr>
  </w:style>
  <w:style w:type="character" w:customStyle="1" w:styleId="BalloonTextChar">
    <w:name w:val="Balloon Text Char"/>
    <w:basedOn w:val="DefaultParagraphFont"/>
    <w:link w:val="BalloonText"/>
    <w:uiPriority w:val="99"/>
    <w:semiHidden/>
    <w:rsid w:val="00FE5FC7"/>
    <w:rPr>
      <w:rFonts w:ascii="Tahoma" w:eastAsia="Times New Roman" w:hAnsi="Tahoma" w:cs="Tahoma"/>
      <w:sz w:val="16"/>
      <w:szCs w:val="16"/>
    </w:rPr>
  </w:style>
  <w:style w:type="character" w:styleId="Emphasis">
    <w:name w:val="Emphasis"/>
    <w:basedOn w:val="DefaultParagraphFont"/>
    <w:qFormat/>
    <w:rsid w:val="00367979"/>
    <w:rPr>
      <w:i/>
      <w:iCs/>
    </w:rPr>
  </w:style>
  <w:style w:type="paragraph" w:styleId="BodyText2">
    <w:name w:val="Body Text 2"/>
    <w:basedOn w:val="Normal"/>
    <w:link w:val="BodyText2Char"/>
    <w:rsid w:val="003653BB"/>
    <w:pPr>
      <w:spacing w:line="480" w:lineRule="auto"/>
      <w:ind w:firstLine="720"/>
      <w:jc w:val="both"/>
    </w:pPr>
  </w:style>
  <w:style w:type="character" w:customStyle="1" w:styleId="BodyText2Char">
    <w:name w:val="Body Text 2 Char"/>
    <w:basedOn w:val="DefaultParagraphFont"/>
    <w:link w:val="BodyText2"/>
    <w:rsid w:val="003653BB"/>
    <w:rPr>
      <w:rFonts w:ascii="Times New Roman" w:eastAsia="Times New Roman" w:hAnsi="Times New Roman" w:cs="Times New Roman"/>
      <w:sz w:val="24"/>
      <w:szCs w:val="24"/>
    </w:rPr>
  </w:style>
  <w:style w:type="paragraph" w:styleId="NoSpacing">
    <w:name w:val="No Spacing"/>
    <w:uiPriority w:val="1"/>
    <w:qFormat/>
    <w:rsid w:val="00AB7DBD"/>
    <w:pPr>
      <w:spacing w:after="0" w:line="240" w:lineRule="auto"/>
    </w:pPr>
    <w:rPr>
      <w:rFonts w:ascii="Calibri" w:eastAsia="Times New Roman" w:hAnsi="Calibri" w:cs="Times New Roman"/>
    </w:rPr>
  </w:style>
  <w:style w:type="character" w:customStyle="1" w:styleId="Heading6Char">
    <w:name w:val="Heading 6 Char"/>
    <w:basedOn w:val="DefaultParagraphFont"/>
    <w:link w:val="Heading6"/>
    <w:uiPriority w:val="9"/>
    <w:rsid w:val="008E4C54"/>
    <w:rPr>
      <w:rFonts w:ascii="Times New Roman" w:eastAsiaTheme="majorEastAsia" w:hAnsi="Times New Roman" w:cs="Times New Roman"/>
      <w:b/>
      <w:iCs/>
      <w:sz w:val="26"/>
      <w:szCs w:val="26"/>
    </w:rPr>
  </w:style>
  <w:style w:type="character" w:styleId="LineNumber">
    <w:name w:val="line number"/>
    <w:basedOn w:val="DefaultParagraphFont"/>
    <w:rsid w:val="00540830"/>
    <w:rPr>
      <w:rFonts w:ascii="Times New Roman" w:hAnsi="Times New Roman"/>
      <w:sz w:val="24"/>
    </w:rPr>
  </w:style>
  <w:style w:type="paragraph" w:styleId="BodyText">
    <w:name w:val="Body Text"/>
    <w:basedOn w:val="Normal"/>
    <w:link w:val="BodyTextChar"/>
    <w:uiPriority w:val="99"/>
    <w:semiHidden/>
    <w:unhideWhenUsed/>
    <w:rsid w:val="004517BC"/>
    <w:pPr>
      <w:spacing w:after="120"/>
    </w:pPr>
  </w:style>
  <w:style w:type="character" w:customStyle="1" w:styleId="BodyTextChar">
    <w:name w:val="Body Text Char"/>
    <w:basedOn w:val="DefaultParagraphFont"/>
    <w:link w:val="BodyText"/>
    <w:uiPriority w:val="99"/>
    <w:semiHidden/>
    <w:rsid w:val="004517BC"/>
    <w:rPr>
      <w:rFonts w:ascii="Times New Roman" w:eastAsia="Times New Roman" w:hAnsi="Times New Roman" w:cs="Times New Roman"/>
      <w:sz w:val="24"/>
      <w:szCs w:val="24"/>
    </w:rPr>
  </w:style>
  <w:style w:type="paragraph" w:customStyle="1" w:styleId="FirmDouble05">
    <w:name w:val="Firm Double 05"/>
    <w:basedOn w:val="Normal"/>
    <w:rsid w:val="004517BC"/>
    <w:pPr>
      <w:spacing w:after="120" w:line="480" w:lineRule="auto"/>
      <w:ind w:firstLine="720"/>
    </w:pPr>
  </w:style>
  <w:style w:type="paragraph" w:customStyle="1" w:styleId="BriefL1">
    <w:name w:val="Brief_L1"/>
    <w:basedOn w:val="Normal"/>
    <w:next w:val="BodyText"/>
    <w:rsid w:val="004517BC"/>
    <w:pPr>
      <w:numPr>
        <w:numId w:val="7"/>
      </w:numPr>
      <w:spacing w:after="360"/>
      <w:jc w:val="center"/>
      <w:outlineLvl w:val="0"/>
    </w:pPr>
    <w:rPr>
      <w:b/>
      <w:caps/>
      <w:szCs w:val="20"/>
    </w:rPr>
  </w:style>
  <w:style w:type="paragraph" w:customStyle="1" w:styleId="BriefL2">
    <w:name w:val="Brief_L2"/>
    <w:basedOn w:val="BriefL1"/>
    <w:next w:val="BodyText"/>
    <w:rsid w:val="004517BC"/>
    <w:pPr>
      <w:keepNext/>
      <w:keepLines/>
      <w:numPr>
        <w:ilvl w:val="1"/>
      </w:numPr>
      <w:jc w:val="left"/>
      <w:outlineLvl w:val="1"/>
    </w:pPr>
    <w:rPr>
      <w:caps w:val="0"/>
    </w:rPr>
  </w:style>
  <w:style w:type="paragraph" w:customStyle="1" w:styleId="BriefL3">
    <w:name w:val="Brief_L3"/>
    <w:basedOn w:val="BriefL2"/>
    <w:rsid w:val="004517BC"/>
    <w:pPr>
      <w:keepNext w:val="0"/>
      <w:keepLines w:val="0"/>
      <w:numPr>
        <w:ilvl w:val="2"/>
      </w:numPr>
      <w:spacing w:after="240"/>
      <w:outlineLvl w:val="2"/>
    </w:pPr>
    <w:rPr>
      <w:rFonts w:ascii="Times New Roman Bold" w:hAnsi="Times New Roman Bold"/>
    </w:rPr>
  </w:style>
  <w:style w:type="paragraph" w:customStyle="1" w:styleId="BriefL4">
    <w:name w:val="Brief_L4"/>
    <w:basedOn w:val="BriefL3"/>
    <w:next w:val="BodyText"/>
    <w:rsid w:val="004517BC"/>
    <w:pPr>
      <w:numPr>
        <w:ilvl w:val="3"/>
      </w:numPr>
      <w:outlineLvl w:val="3"/>
    </w:pPr>
    <w:rPr>
      <w:rFonts w:ascii="Times New Roman" w:hAnsi="Times New Roman"/>
    </w:rPr>
  </w:style>
  <w:style w:type="paragraph" w:customStyle="1" w:styleId="BriefL5">
    <w:name w:val="Brief_L5"/>
    <w:basedOn w:val="BriefL4"/>
    <w:next w:val="BodyText"/>
    <w:rsid w:val="004517BC"/>
    <w:pPr>
      <w:numPr>
        <w:ilvl w:val="4"/>
      </w:numPr>
      <w:outlineLvl w:val="4"/>
    </w:pPr>
    <w:rPr>
      <w:rFonts w:ascii="Times New Roman Bold" w:hAnsi="Times New Roman Bold"/>
    </w:rPr>
  </w:style>
  <w:style w:type="paragraph" w:customStyle="1" w:styleId="BriefL6">
    <w:name w:val="Brief_L6"/>
    <w:basedOn w:val="BriefL5"/>
    <w:next w:val="BodyText"/>
    <w:rsid w:val="004517BC"/>
    <w:pPr>
      <w:numPr>
        <w:ilvl w:val="5"/>
      </w:numPr>
      <w:outlineLvl w:val="5"/>
    </w:pPr>
  </w:style>
  <w:style w:type="paragraph" w:customStyle="1" w:styleId="BriefL7">
    <w:name w:val="Brief_L7"/>
    <w:basedOn w:val="BriefL6"/>
    <w:next w:val="BodyText"/>
    <w:rsid w:val="004517BC"/>
    <w:pPr>
      <w:numPr>
        <w:ilvl w:val="6"/>
      </w:numPr>
      <w:outlineLvl w:val="6"/>
    </w:pPr>
  </w:style>
  <w:style w:type="paragraph" w:customStyle="1" w:styleId="BriefL8">
    <w:name w:val="Brief_L8"/>
    <w:basedOn w:val="BriefL7"/>
    <w:next w:val="BodyText"/>
    <w:rsid w:val="004517BC"/>
    <w:pPr>
      <w:numPr>
        <w:ilvl w:val="7"/>
      </w:numPr>
      <w:outlineLvl w:val="7"/>
    </w:pPr>
  </w:style>
  <w:style w:type="paragraph" w:customStyle="1" w:styleId="BriefL9">
    <w:name w:val="Brief_L9"/>
    <w:basedOn w:val="BriefL8"/>
    <w:next w:val="BodyText"/>
    <w:rsid w:val="004517BC"/>
    <w:pPr>
      <w:numPr>
        <w:ilvl w:val="8"/>
      </w:numPr>
      <w:outlineLvl w:val="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jm.com/markets-and-operations/demand-response/dr-energy-market.aspx" TargetMode="External"/><Relationship Id="rId1" Type="http://schemas.openxmlformats.org/officeDocument/2006/relationships/hyperlink" Target="http://www.clarkstrategicpartners.net/files/calif_standard_practice_manual.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38C8-5344-426B-B704-7FD452E6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139</Pages>
  <Words>35896</Words>
  <Characters>204613</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Sara Miller Williams</cp:lastModifiedBy>
  <cp:revision>6</cp:revision>
  <cp:lastPrinted>2009-10-28T17:33:00Z</cp:lastPrinted>
  <dcterms:created xsi:type="dcterms:W3CDTF">2009-10-28T17:11:00Z</dcterms:created>
  <dcterms:modified xsi:type="dcterms:W3CDTF">2009-10-28T17:35:00Z</dcterms:modified>
</cp:coreProperties>
</file>